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39D0" w:rsidRDefault="00E539D0" w:rsidP="00E539D0">
      <w:pPr>
        <w:pStyle w:val="AOSchHead"/>
        <w:rPr>
          <w:rFonts w:ascii="Verdana" w:hAnsi="Verdana"/>
          <w:b/>
        </w:rPr>
      </w:pPr>
      <w:bookmarkStart w:id="0" w:name="_Toc222911018"/>
      <w:bookmarkStart w:id="1" w:name="_Toc284403343"/>
      <w:bookmarkStart w:id="2" w:name="_Toc345578615"/>
      <w:bookmarkStart w:id="3" w:name="_Toc178572042"/>
      <w:bookmarkStart w:id="4" w:name="_Toc178659631"/>
      <w:bookmarkStart w:id="5" w:name="_Toc178669245"/>
      <w:bookmarkStart w:id="6" w:name="_Toc179790334"/>
      <w:bookmarkStart w:id="7" w:name="_Toc179790984"/>
      <w:bookmarkStart w:id="8" w:name="_Toc179791092"/>
      <w:bookmarkStart w:id="9" w:name="_Toc179791182"/>
      <w:bookmarkStart w:id="10" w:name="_Toc179953086"/>
      <w:bookmarkStart w:id="11" w:name="_Toc179953147"/>
      <w:bookmarkStart w:id="12" w:name="_Toc179954733"/>
      <w:bookmarkStart w:id="13" w:name="_Toc185223791"/>
      <w:bookmarkStart w:id="14" w:name="_Toc93114936"/>
      <w:bookmarkStart w:id="15" w:name="_Toc162710842"/>
      <w:bookmarkStart w:id="16" w:name="_Toc163388770"/>
      <w:bookmarkStart w:id="17" w:name="_Toc163455600"/>
      <w:bookmarkStart w:id="18" w:name="_Toc166570221"/>
      <w:bookmarkStart w:id="19" w:name="_Toc178669250"/>
      <w:r>
        <w:rPr>
          <w:rFonts w:ascii="Verdana" w:hAnsi="Verdana"/>
          <w:b/>
        </w:rPr>
        <w:t>2. melléklet</w:t>
      </w:r>
      <w:bookmarkEnd w:id="0"/>
      <w:bookmarkEnd w:id="1"/>
      <w:bookmarkEnd w:id="2"/>
    </w:p>
    <w:p w:rsidR="00E539D0" w:rsidRDefault="00E539D0" w:rsidP="00E539D0">
      <w:pPr>
        <w:pStyle w:val="AOHead2"/>
        <w:ind w:left="360"/>
        <w:jc w:val="center"/>
        <w:rPr>
          <w:rFonts w:ascii="Verdana" w:hAnsi="Verdana"/>
        </w:rPr>
      </w:pPr>
      <w:bookmarkStart w:id="20" w:name="_Toc345578616"/>
      <w:r>
        <w:rPr>
          <w:rFonts w:ascii="Verdana" w:hAnsi="Verdana"/>
        </w:rPr>
        <w:t>Lebonyolítási Eljárásrend</w:t>
      </w:r>
      <w:bookmarkEnd w:id="20"/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ÚSZH (GOP) Hitelprogram célja a kereskedelmi banki módszerekkel nem, vagy nem a kívánt mértékben finanszírozható magyarországi székhelyű </w:t>
      </w:r>
      <w:proofErr w:type="gramStart"/>
      <w:r>
        <w:rPr>
          <w:rFonts w:ascii="Verdana" w:hAnsi="Verdana"/>
          <w:sz w:val="22"/>
          <w:szCs w:val="22"/>
        </w:rPr>
        <w:t>mikro- ,</w:t>
      </w:r>
      <w:proofErr w:type="gramEnd"/>
      <w:r>
        <w:rPr>
          <w:rFonts w:ascii="Verdana" w:hAnsi="Verdana"/>
          <w:sz w:val="22"/>
          <w:szCs w:val="22"/>
        </w:rPr>
        <w:t xml:space="preserve"> kis- és középvállalkozások fejlesztése a hitelhez jutás lehetőségeinek javításával.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ÚSZH (GOP) Hitelprogram keretében a </w:t>
      </w:r>
      <w:proofErr w:type="gramStart"/>
      <w:r>
        <w:rPr>
          <w:rFonts w:ascii="Verdana" w:hAnsi="Verdana"/>
          <w:sz w:val="22"/>
          <w:szCs w:val="22"/>
        </w:rPr>
        <w:t xml:space="preserve">Társaság </w:t>
      </w:r>
      <w:r>
        <w:rPr>
          <w:rFonts w:ascii="Verdana" w:hAnsi="Verdana"/>
          <w:b/>
          <w:bCs/>
          <w:sz w:val="22"/>
          <w:szCs w:val="22"/>
        </w:rPr>
        <w:t>refinanszírozási</w:t>
      </w:r>
      <w:proofErr w:type="gramEnd"/>
      <w:r>
        <w:rPr>
          <w:rFonts w:ascii="Verdana" w:hAnsi="Verdana"/>
          <w:b/>
          <w:bCs/>
          <w:sz w:val="22"/>
          <w:szCs w:val="22"/>
        </w:rPr>
        <w:t xml:space="preserve"> hitelkeretet közvetít szerződött pénzügyi közvetítők számára</w:t>
      </w:r>
      <w:r>
        <w:rPr>
          <w:rFonts w:ascii="Verdana" w:hAnsi="Verdana"/>
          <w:sz w:val="22"/>
          <w:szCs w:val="22"/>
        </w:rPr>
        <w:t>, ily módon visszatérítendő, kedvező kamatozású forrásokat biztosít a mikro-, kis- és középvállalkozások számára.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ÚSZH (GOP) Hitelprogramban pénzügyi közvetítőként hitelintézetek, pénzügyi vállalkozások, valamint vállalkozásfejlesztési alapítványok (továbbiakban: „Közvetítő”) kerülhetnek be nyílt pályázati eljárásban történő kiválasztást követően. Az EU előírásokkal összhangban a Finanszírozási Alapból történő refinanszírozási forrásokat a Közvetítők előre meghatározott mértékben kötelesek a saját forrásaikkal kiegészíteni.</w:t>
      </w:r>
    </w:p>
    <w:p w:rsidR="00E539D0" w:rsidRDefault="00E539D0" w:rsidP="00E539D0">
      <w:pPr>
        <w:numPr>
          <w:ilvl w:val="0"/>
          <w:numId w:val="12"/>
        </w:numPr>
        <w:spacing w:before="240" w:line="260" w:lineRule="atLeas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Refinanszírozás</w:t>
      </w:r>
    </w:p>
    <w:p w:rsidR="00E539D0" w:rsidRDefault="00E539D0" w:rsidP="00E539D0">
      <w:pPr>
        <w:pStyle w:val="Cmsor3"/>
        <w:numPr>
          <w:ilvl w:val="1"/>
          <w:numId w:val="12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bookmarkStart w:id="21" w:name="_Toc176937958"/>
      <w:bookmarkStart w:id="22" w:name="_Toc179790339"/>
      <w:bookmarkStart w:id="23" w:name="_Toc179790988"/>
      <w:bookmarkStart w:id="24" w:name="_Toc179791096"/>
      <w:bookmarkStart w:id="25" w:name="_Toc179791186"/>
      <w:bookmarkStart w:id="26" w:name="_Toc179953090"/>
      <w:bookmarkStart w:id="27" w:name="_Toc179953151"/>
      <w:bookmarkStart w:id="28" w:name="_Toc179954737"/>
      <w:r>
        <w:rPr>
          <w:rFonts w:ascii="Verdana" w:hAnsi="Verdana"/>
          <w:i/>
          <w:iCs/>
          <w:u w:val="single"/>
        </w:rPr>
        <w:t>Közvetítő rendelkezésére álló források és a kezelésére szolgáló számla</w:t>
      </w:r>
      <w:bookmarkEnd w:id="21"/>
      <w:bookmarkEnd w:id="22"/>
      <w:bookmarkEnd w:id="23"/>
      <w:bookmarkEnd w:id="24"/>
      <w:bookmarkEnd w:id="25"/>
      <w:bookmarkEnd w:id="26"/>
      <w:bookmarkEnd w:id="27"/>
      <w:bookmarkEnd w:id="28"/>
    </w:p>
    <w:p w:rsidR="00E539D0" w:rsidRDefault="00E539D0" w:rsidP="00E539D0">
      <w:pPr>
        <w:pStyle w:val="Szvegtrzs"/>
        <w:numPr>
          <w:ilvl w:val="2"/>
          <w:numId w:val="14"/>
        </w:numPr>
        <w:spacing w:before="240" w:after="0" w:line="260" w:lineRule="atLeas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</w:t>
      </w:r>
      <w:r>
        <w:rPr>
          <w:rFonts w:ascii="Verdana" w:hAnsi="Verdana"/>
          <w:b/>
          <w:sz w:val="22"/>
          <w:szCs w:val="22"/>
        </w:rPr>
        <w:t>megnyit a saját bankszámlája mellett egy számlát</w:t>
      </w:r>
      <w:r>
        <w:rPr>
          <w:rFonts w:ascii="Verdana" w:hAnsi="Verdana"/>
          <w:sz w:val="22"/>
          <w:szCs w:val="22"/>
        </w:rPr>
        <w:t xml:space="preserve"> („Elszámolási Tőkeszámla”), amely kizárólag arra szolgál, hogy </w:t>
      </w:r>
    </w:p>
    <w:p w:rsidR="00E539D0" w:rsidRDefault="00E539D0" w:rsidP="00E539D0">
      <w:pPr>
        <w:spacing w:before="120" w:line="260" w:lineRule="atLeast"/>
        <w:ind w:left="1080"/>
        <w:jc w:val="both"/>
        <w:rPr>
          <w:rFonts w:ascii="Verdana" w:hAnsi="Verdana"/>
          <w:bCs/>
          <w:sz w:val="22"/>
          <w:szCs w:val="22"/>
          <w:u w:val="single"/>
        </w:rPr>
      </w:pPr>
      <w:proofErr w:type="gramStart"/>
      <w:r>
        <w:rPr>
          <w:rFonts w:ascii="Verdana" w:hAnsi="Verdana"/>
          <w:bCs/>
          <w:sz w:val="22"/>
          <w:szCs w:val="22"/>
          <w:u w:val="single"/>
        </w:rPr>
        <w:t>fogadja</w:t>
      </w:r>
      <w:proofErr w:type="gramEnd"/>
      <w:r>
        <w:rPr>
          <w:rFonts w:ascii="Verdana" w:hAnsi="Verdana"/>
          <w:bCs/>
          <w:sz w:val="22"/>
          <w:szCs w:val="22"/>
          <w:u w:val="single"/>
        </w:rPr>
        <w:t>: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Társaság által rendelkezésére bocsátott forrásokat (támogatás lehívás),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számlavezető által fizetett betéti kamatokat,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Közvetítő által jóváírt számlavezetéssel kapcsolatos költségeket,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téves könyvelés miatti jóváírásokat,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 Jogosulatlan </w:t>
      </w:r>
      <w:proofErr w:type="spellStart"/>
      <w:r>
        <w:rPr>
          <w:rFonts w:ascii="Verdana" w:hAnsi="Verdana"/>
          <w:bCs/>
          <w:sz w:val="22"/>
          <w:szCs w:val="22"/>
        </w:rPr>
        <w:t>forrásfelhasználású</w:t>
      </w:r>
      <w:proofErr w:type="spellEnd"/>
      <w:r>
        <w:rPr>
          <w:rFonts w:ascii="Verdana" w:hAnsi="Verdana"/>
          <w:bCs/>
          <w:sz w:val="22"/>
          <w:szCs w:val="22"/>
        </w:rPr>
        <w:t xml:space="preserve"> ügyletek miatt esedékes kamatokat,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biztosítékok behajtásából származó megtérüléseket,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veszteség befizetéseket,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kedvezményezettek tőketörlesztéseit,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saját rész befizetéseket,</w:t>
      </w:r>
    </w:p>
    <w:p w:rsidR="00E539D0" w:rsidRDefault="00E539D0" w:rsidP="00E539D0">
      <w:pPr>
        <w:spacing w:before="120" w:line="260" w:lineRule="atLeast"/>
        <w:ind w:left="1080"/>
        <w:jc w:val="both"/>
        <w:rPr>
          <w:rFonts w:ascii="Verdana" w:hAnsi="Verdana"/>
          <w:bCs/>
          <w:sz w:val="22"/>
          <w:szCs w:val="22"/>
          <w:u w:val="single"/>
        </w:rPr>
      </w:pPr>
      <w:proofErr w:type="gramStart"/>
      <w:r>
        <w:rPr>
          <w:rFonts w:ascii="Verdana" w:hAnsi="Verdana"/>
          <w:bCs/>
          <w:sz w:val="22"/>
          <w:szCs w:val="22"/>
          <w:u w:val="single"/>
        </w:rPr>
        <w:t>terheljék</w:t>
      </w:r>
      <w:proofErr w:type="gramEnd"/>
      <w:r>
        <w:rPr>
          <w:rFonts w:ascii="Verdana" w:hAnsi="Verdana"/>
          <w:bCs/>
          <w:sz w:val="22"/>
          <w:szCs w:val="22"/>
          <w:u w:val="single"/>
        </w:rPr>
        <w:t>: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hitel kihelyezések (hitelfolyósítás),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Társaság részére történő mindennemű kifizetések (támogatás visszafizetés, kihasználatlan forrás visszautalása, betéti kamat elszámolás),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a számlavezetéssel kapcsolatban felmerülő költségek,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>téves könyvelés miatti terhelések,</w:t>
      </w:r>
    </w:p>
    <w:p w:rsidR="00E539D0" w:rsidRDefault="00E539D0" w:rsidP="00E539D0">
      <w:pPr>
        <w:numPr>
          <w:ilvl w:val="1"/>
          <w:numId w:val="5"/>
        </w:numPr>
        <w:spacing w:before="120" w:line="260" w:lineRule="atLeast"/>
        <w:jc w:val="both"/>
        <w:rPr>
          <w:rFonts w:ascii="Verdana" w:hAnsi="Verdana"/>
          <w:bCs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lastRenderedPageBreak/>
        <w:t>saját rész visszafizetések</w:t>
      </w:r>
    </w:p>
    <w:p w:rsidR="00E539D0" w:rsidRDefault="00E539D0" w:rsidP="00E539D0">
      <w:pPr>
        <w:pStyle w:val="Felsorols1"/>
        <w:spacing w:before="240" w:after="0" w:line="260" w:lineRule="atLeast"/>
        <w:rPr>
          <w:rFonts w:ascii="Verdana" w:hAnsi="Verdana"/>
          <w:bCs/>
          <w:sz w:val="22"/>
          <w:szCs w:val="22"/>
          <w:lang w:val="hu-HU"/>
        </w:rPr>
      </w:pPr>
      <w:r>
        <w:rPr>
          <w:rFonts w:ascii="Verdana" w:hAnsi="Verdana"/>
          <w:bCs/>
          <w:sz w:val="22"/>
          <w:szCs w:val="22"/>
          <w:lang w:val="hu-HU"/>
        </w:rPr>
        <w:t>Az Elszámolási Tőkeszámlán lévő összegből eseti jelleggel, átmenetileg sem finanszírozhatók a Közvetítő költségei, hitelezési veszteségei. A hitelek kamataival a Közvetítő szabadon gazdálkodhat.</w:t>
      </w:r>
    </w:p>
    <w:p w:rsidR="00E539D0" w:rsidRDefault="00E539D0" w:rsidP="00E539D0">
      <w:pPr>
        <w:pStyle w:val="Szvegtrzs"/>
        <w:numPr>
          <w:ilvl w:val="2"/>
          <w:numId w:val="14"/>
        </w:numPr>
        <w:spacing w:before="240" w:after="0" w:line="260" w:lineRule="atLeas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az Elszámolási Tőkeszámla megnyitásáról a számlavezető megnevezésével és a számlaszám pontos feltüntetésével írásban tájékoztatja a Társaságot.</w:t>
      </w:r>
    </w:p>
    <w:p w:rsidR="00E539D0" w:rsidRDefault="00E539D0" w:rsidP="00E539D0">
      <w:pPr>
        <w:pStyle w:val="Szvegtrzs"/>
        <w:numPr>
          <w:ilvl w:val="2"/>
          <w:numId w:val="14"/>
        </w:numPr>
        <w:spacing w:before="240" w:after="0" w:line="260" w:lineRule="atLeas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 a Közvetítő által havonta megküldött, a számlamozgásokat összesítő banki egyenleg-kimutatás alapján ellenőrzi az Elszámolási Tőkeszámlán történt pénzmozgásokat, és azok egyezőségét a Társaság saját nyilvántartási rendszerével (elektronikus adatszolgáltatás havi jelentése). Eltérés esetén a Társaság munkatársa egyeztet a Közvetítővel.</w:t>
      </w:r>
    </w:p>
    <w:p w:rsidR="00E539D0" w:rsidRDefault="00E539D0" w:rsidP="00E539D0">
      <w:pPr>
        <w:pStyle w:val="Szvegtrzs"/>
        <w:numPr>
          <w:ilvl w:val="2"/>
          <w:numId w:val="14"/>
        </w:numPr>
        <w:spacing w:before="240" w:after="0" w:line="260" w:lineRule="atLeas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 Közvetítő számlakivonattal igazolja, hogy az </w:t>
      </w:r>
      <w:r>
        <w:rPr>
          <w:rFonts w:ascii="Verdana" w:hAnsi="Verdana"/>
          <w:b/>
          <w:sz w:val="22"/>
          <w:szCs w:val="22"/>
        </w:rPr>
        <w:t>Elszámolási Tőkeszámlának Közvetítő által hivatalosan befogadott, elbírálás alatt álló hitelkérelmek, és a már aláírt hitelszerződések értékével csökkentett egyenlege nem éri el az átutalt Előfinanszírozás összegének 20%-át</w:t>
      </w:r>
      <w:r>
        <w:rPr>
          <w:rFonts w:ascii="Verdana" w:hAnsi="Verdana"/>
          <w:sz w:val="22"/>
          <w:szCs w:val="22"/>
        </w:rPr>
        <w:t>, jogosult újabb Előfinanszírozást igényelni a Társaságtól.</w:t>
      </w:r>
    </w:p>
    <w:p w:rsidR="00E539D0" w:rsidRDefault="00E539D0" w:rsidP="00E539D0">
      <w:pPr>
        <w:pStyle w:val="Szvegtrzs"/>
        <w:numPr>
          <w:ilvl w:val="2"/>
          <w:numId w:val="14"/>
        </w:numPr>
        <w:spacing w:before="240" w:after="0" w:line="260" w:lineRule="atLeast"/>
        <w:ind w:left="284" w:hanging="284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saját nyilvántartása szerint és az Elszámolási Tőkeszámla forgalma alapján folyamatosan figyelemmel kíséri a Közvetítő tevékenységét és üzleti aktivitását. 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bCs/>
          <w:sz w:val="22"/>
          <w:szCs w:val="22"/>
        </w:rPr>
        <w:t xml:space="preserve">Az üzleti aktivitás egyik mutatója a Közvetítő számlájára utalt Előfinanszírozási Egység felhasználásának ideje, napokban. Amennyiben a rendelkezésre bocsátott Előfinanszírozás összegének legalább 80%-a 90 napon belül nem kerül felhasználásra, úgy a Társaság </w:t>
      </w:r>
      <w:proofErr w:type="gramStart"/>
      <w:r>
        <w:rPr>
          <w:rFonts w:ascii="Verdana" w:hAnsi="Verdana"/>
          <w:bCs/>
          <w:sz w:val="22"/>
          <w:szCs w:val="22"/>
        </w:rPr>
        <w:t>jogosult  –</w:t>
      </w:r>
      <w:proofErr w:type="gramEnd"/>
      <w:r>
        <w:rPr>
          <w:rFonts w:ascii="Verdana" w:hAnsi="Verdana"/>
          <w:bCs/>
          <w:sz w:val="22"/>
          <w:szCs w:val="22"/>
        </w:rPr>
        <w:t xml:space="preserve"> és amennyiben a Társaság úgy ítéli meg, hogy a Közvetítő a Társaság felszólítása ellenére sem mutat kellő aktivitást a Társaság által refinanszírozott hitelek kihelyezésében - az Elszámolási Tőkeszámlára általa átutalt, de a Közvetítő által Hitelszerződésben még le nem kötött összeg egy részének, de legfeljebb 80%-át visszakövetelni. A vizsgálat alapja a mindenkor rendelkezésre álló összes kihitelezhető tőkeösszeg 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 xml:space="preserve"> Közvetítő tevékenységére vonatkozó minőségi mutató a kihelyezések törlesztési pontossága, a javasolt módosítások száma, a Közvetítő kamatfizetési pontossága. </w:t>
      </w:r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bookmarkStart w:id="29" w:name="_Toc176937959"/>
      <w:proofErr w:type="gramStart"/>
      <w:r>
        <w:rPr>
          <w:rFonts w:ascii="Verdana" w:hAnsi="Verdana"/>
        </w:rPr>
        <w:t xml:space="preserve">Amennyiben a Közvetítő által az ÚSZH (GOP) Hitelprogram – illetve bármely más, a Társaság által refinanszírozott program – keretében kialakított hitelportfolióban a Késedelmes Portfolió Aránya meghaladja a </w:t>
      </w:r>
      <w:r>
        <w:rPr>
          <w:rFonts w:ascii="Verdana" w:hAnsi="Verdana"/>
          <w:b/>
        </w:rPr>
        <w:t>10%</w:t>
      </w:r>
      <w:r>
        <w:rPr>
          <w:rFonts w:ascii="Verdana" w:hAnsi="Verdana"/>
        </w:rPr>
        <w:t>-ot, a Társaság jogosult a Közvetítőt rendszeres havi kiegészítő adatközlésre kötelezni, amelynek keretében a Közvetítő tájékoztatást nyújt a "D" (kétes) és "E" (rossz) minősítésű követelések aktuális státuszáról, az azokkal kapcsolatban megtett intézkedésekről, illetve a behajtás érdekében tervezett lépésekről.</w:t>
      </w:r>
      <w:proofErr w:type="gramEnd"/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az ÚSZH (GOP) Hitelprogram – illetve bármely más, a Társaság által refinanszírozott program – keretében kialakított hitelportfolióban a Késedelmes Portfolió Aránya eléri, vagy meghaladja a </w:t>
      </w:r>
      <w:r>
        <w:rPr>
          <w:rFonts w:ascii="Verdana" w:hAnsi="Verdana"/>
          <w:b/>
        </w:rPr>
        <w:t>15%</w:t>
      </w:r>
      <w:r>
        <w:rPr>
          <w:rFonts w:ascii="Verdana" w:hAnsi="Verdana"/>
        </w:rPr>
        <w:t xml:space="preserve">-ot, a Társaság jogosult a Közvetítő újabb </w:t>
      </w:r>
      <w:r>
        <w:rPr>
          <w:rFonts w:ascii="Verdana" w:hAnsi="Verdana"/>
        </w:rPr>
        <w:lastRenderedPageBreak/>
        <w:t xml:space="preserve">Előfinanszírozás igényléseit elutasítani, valamint a hitelezés biztonságát növelő feltételek betartását előírni. </w:t>
      </w:r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az ÚSZH (GOP) Hitelprogram – illetve bármely más, a Társaság által refinanszírozott program – keretében kialakított hitelportfolió Késedelmes portfolió aránya eléri, vagy meghaladja a </w:t>
      </w:r>
      <w:r>
        <w:rPr>
          <w:rFonts w:ascii="Verdana" w:hAnsi="Verdana"/>
          <w:b/>
        </w:rPr>
        <w:t>20%</w:t>
      </w:r>
      <w:r>
        <w:rPr>
          <w:rFonts w:ascii="Verdana" w:hAnsi="Verdana"/>
        </w:rPr>
        <w:t>-ot, a Társaság jogosult a Közvetítő székhelyén kockázatkezelési és/vagy monitoring ellenőrzést lefolytatni.</w:t>
      </w:r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r>
        <w:rPr>
          <w:rFonts w:ascii="Verdana" w:hAnsi="Verdana"/>
        </w:rPr>
        <w:t xml:space="preserve">Amennyiben a Közvetítő által az ÚSZH (GOP) Hitelprogram – illetve bármely más, a Társaság által refinanszírozott program – keretében kialakított hitelportfolióban a Késedelmes Portfolió Aránya eléri, vagy meghaladja a </w:t>
      </w:r>
      <w:r>
        <w:rPr>
          <w:rFonts w:ascii="Verdana" w:hAnsi="Verdana"/>
          <w:b/>
        </w:rPr>
        <w:t>25%</w:t>
      </w:r>
      <w:r>
        <w:rPr>
          <w:rFonts w:ascii="Verdana" w:hAnsi="Verdana"/>
        </w:rPr>
        <w:t xml:space="preserve">-ot, a Társaság jogosult az Elszámolási Tőkeszámlára általa átutalt, de a Közvetítő által Hitelszerződésben még le nem szerződött összeg egy részének, de legfeljebb 80%-nak visszakövetelésére. </w:t>
      </w:r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Amennyiben a Közvetítő által az ÚSZH (GOP) Hitelprogram – illetve bármely más, a Társaság által refinanszírozott program – keretében kialakított hitelportfolióban a Késedelmes Portfolió Aránya eléri vagy meghaladja a </w:t>
      </w:r>
      <w:r>
        <w:rPr>
          <w:rFonts w:ascii="Verdana" w:hAnsi="Verdana"/>
          <w:b/>
        </w:rPr>
        <w:t>30%</w:t>
      </w:r>
      <w:r>
        <w:rPr>
          <w:rFonts w:ascii="Verdana" w:hAnsi="Verdana"/>
        </w:rPr>
        <w:t>-ot, a Közvetítő nem igényelhet a Társaságtól újabb Előfinanszírozást, továbbá a Társaság jogosult a Szerződést azonnali hatállyal felmondani (Felmondási Esemény), illetve jogosult a Elszámolási Tőkeszámlára általa átutalt, de a Közvetítő által Hitelszerződésben még le nem kötött teljes összeget visszakövetelni.</w:t>
      </w:r>
      <w:proofErr w:type="gramEnd"/>
      <w:r>
        <w:rPr>
          <w:rFonts w:ascii="Verdana" w:hAnsi="Verdana"/>
          <w:bCs/>
          <w:szCs w:val="22"/>
        </w:rPr>
        <w:t xml:space="preserve"> </w:t>
      </w:r>
    </w:p>
    <w:p w:rsidR="00E539D0" w:rsidRDefault="00E539D0" w:rsidP="00E539D0">
      <w:pPr>
        <w:pStyle w:val="AODefHead"/>
        <w:numPr>
          <w:ilvl w:val="0"/>
          <w:numId w:val="9"/>
        </w:numPr>
        <w:ind w:left="709"/>
        <w:rPr>
          <w:rFonts w:ascii="Verdana" w:hAnsi="Verdana"/>
        </w:rPr>
      </w:pPr>
      <w:r>
        <w:rPr>
          <w:rFonts w:ascii="Verdana" w:eastAsia="Calibri" w:hAnsi="Verdana"/>
        </w:rPr>
        <w:t>A Társaság az Előfinanszírozás biztosításának napjától megállapítja a refinanszírozás kamatát (melynek díját negyedévente visszamenőleg díjértesítőben megállapítja) és figyeli annak beérkezését (díjértesítőben szereplő összegre vonatkozó fizetési határidő) és - szükség szerint - fizetésre szólítja fel a</w:t>
      </w:r>
      <w:r>
        <w:rPr>
          <w:rFonts w:ascii="Verdana" w:hAnsi="Verdana"/>
        </w:rPr>
        <w:t xml:space="preserve"> Közvetítőt.</w:t>
      </w:r>
      <w:bookmarkStart w:id="30" w:name="_Toc179790989"/>
      <w:bookmarkStart w:id="31" w:name="_Toc179791097"/>
      <w:bookmarkStart w:id="32" w:name="_Toc179791187"/>
      <w:bookmarkStart w:id="33" w:name="_Toc179953091"/>
      <w:bookmarkStart w:id="34" w:name="_Toc179953152"/>
      <w:bookmarkStart w:id="35" w:name="_Toc179954738"/>
      <w:bookmarkEnd w:id="29"/>
    </w:p>
    <w:p w:rsidR="00E539D0" w:rsidRDefault="00E539D0" w:rsidP="00E539D0">
      <w:pPr>
        <w:pStyle w:val="Cmsor3"/>
        <w:numPr>
          <w:ilvl w:val="1"/>
          <w:numId w:val="12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Hitelek folyósításának feltételei (Közvetítő és a kedvezményezettek viszonylatában)</w:t>
      </w:r>
      <w:bookmarkEnd w:id="30"/>
      <w:bookmarkEnd w:id="31"/>
      <w:bookmarkEnd w:id="32"/>
      <w:bookmarkEnd w:id="33"/>
      <w:bookmarkEnd w:id="34"/>
      <w:bookmarkEnd w:id="35"/>
    </w:p>
    <w:p w:rsidR="00E539D0" w:rsidRDefault="00E539D0" w:rsidP="00E539D0">
      <w:pPr>
        <w:numPr>
          <w:ilvl w:val="0"/>
          <w:numId w:val="11"/>
        </w:numPr>
        <w:tabs>
          <w:tab w:val="clear" w:pos="72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ügyfeleknek lehetőséget kell biztosítani, hogy az igénylőlapot a Közvetítő weboldaláról letölthessék (PDF formátumban), és előzetesen kitölthessék. A weboldal</w:t>
      </w:r>
      <w:r>
        <w:rPr>
          <w:rFonts w:ascii="Verdana" w:hAnsi="Verdana"/>
          <w:i/>
          <w:iCs/>
          <w:sz w:val="22"/>
          <w:szCs w:val="22"/>
          <w:u w:val="single"/>
        </w:rPr>
        <w:t>on emellett tájékoztatást kell nyújtani az igénylés menetéről, illetve a személyes ü</w:t>
      </w:r>
      <w:r>
        <w:rPr>
          <w:rFonts w:ascii="Verdana" w:hAnsi="Verdana"/>
          <w:sz w:val="22"/>
          <w:szCs w:val="22"/>
        </w:rPr>
        <w:t>gyintézéshez szükséges dokumentumokról (pl. igénylő vállalkozás cégpapírjai, pénzügyi beszámolók, beruházási terv, stb.).</w:t>
      </w:r>
    </w:p>
    <w:p w:rsidR="00E539D0" w:rsidRDefault="00E539D0" w:rsidP="00E539D0">
      <w:pPr>
        <w:numPr>
          <w:ilvl w:val="0"/>
          <w:numId w:val="11"/>
        </w:numPr>
        <w:tabs>
          <w:tab w:val="clear" w:pos="720"/>
          <w:tab w:val="num" w:pos="-216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ügyfél kizárólag a Közvetítővel áll kapcsolatban, a Közvetítő képviselője tájékoztatja a hitelfelvétel részleteiről a Kedvezményezettet, minden dokumentumot a Közvetítő vesz át, ő köti meg a hitelszerződést, ő folyósítja a hitelt.  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r>
        <w:rPr>
          <w:rFonts w:ascii="Verdana" w:hAnsi="Verdana"/>
          <w:i/>
          <w:iCs/>
          <w:u w:val="single"/>
        </w:rPr>
        <w:t>kedvezményezett</w:t>
      </w:r>
      <w:r>
        <w:rPr>
          <w:rFonts w:ascii="Verdana" w:hAnsi="Verdana"/>
          <w:sz w:val="22"/>
          <w:szCs w:val="22"/>
        </w:rPr>
        <w:t>nek - egyebek között - nyilatkoznia kell a következőkről:</w:t>
      </w:r>
    </w:p>
    <w:p w:rsidR="00E539D0" w:rsidRDefault="00E539D0" w:rsidP="00E539D0">
      <w:pPr>
        <w:spacing w:before="240" w:line="260" w:lineRule="atLeast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(i) Az általa, vagy bármely kapcsolt vállalkozása által a folyamatban lévő, és az azt megelőző két pénzügyi évben esetlegesen igénybevett csekély összegű (de </w:t>
      </w:r>
      <w:proofErr w:type="spellStart"/>
      <w:r>
        <w:rPr>
          <w:rFonts w:ascii="Verdana" w:hAnsi="Verdana"/>
          <w:sz w:val="22"/>
          <w:szCs w:val="22"/>
        </w:rPr>
        <w:t>minimis</w:t>
      </w:r>
      <w:proofErr w:type="spellEnd"/>
      <w:r>
        <w:rPr>
          <w:rFonts w:ascii="Verdana" w:hAnsi="Verdana"/>
          <w:sz w:val="22"/>
          <w:szCs w:val="22"/>
        </w:rPr>
        <w:t>) támogatások összegéről, a hitelcélról, illetve a Projekt megvalósítási helyéről;</w:t>
      </w:r>
    </w:p>
    <w:p w:rsidR="00E539D0" w:rsidRDefault="00E539D0" w:rsidP="00E539D0">
      <w:pPr>
        <w:spacing w:before="240" w:line="260" w:lineRule="atLeast"/>
        <w:ind w:left="709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(</w:t>
      </w:r>
      <w:proofErr w:type="spellStart"/>
      <w:r>
        <w:rPr>
          <w:rFonts w:ascii="Verdana" w:hAnsi="Verdana"/>
          <w:sz w:val="22"/>
          <w:szCs w:val="22"/>
        </w:rPr>
        <w:t>ii</w:t>
      </w:r>
      <w:proofErr w:type="spellEnd"/>
      <w:r>
        <w:rPr>
          <w:rFonts w:ascii="Verdana" w:hAnsi="Verdana"/>
          <w:sz w:val="22"/>
          <w:szCs w:val="22"/>
        </w:rPr>
        <w:t>) a legutolsó lezárt, teljes üzleti év nettó árbevételének (egyéni vállalkozók esetén a vállalkozói adóalapba beszámított bevételek) kevesebb, mint 50%-át tette ki mezőgazdasági tevékenység (TEÁOR ’08 szerint: 01.11-03.22);</w:t>
      </w:r>
    </w:p>
    <w:p w:rsidR="00E539D0" w:rsidRDefault="00E539D0" w:rsidP="00E539D0">
      <w:pPr>
        <w:tabs>
          <w:tab w:val="left" w:pos="1200"/>
        </w:tabs>
        <w:spacing w:before="240" w:line="260" w:lineRule="atLeast"/>
        <w:ind w:left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(</w:t>
      </w:r>
      <w:proofErr w:type="spellStart"/>
      <w:r>
        <w:rPr>
          <w:rFonts w:ascii="Verdana" w:hAnsi="Verdana"/>
          <w:sz w:val="22"/>
          <w:szCs w:val="22"/>
        </w:rPr>
        <w:t>iii</w:t>
      </w:r>
      <w:proofErr w:type="spellEnd"/>
      <w:r>
        <w:rPr>
          <w:rFonts w:ascii="Verdana" w:hAnsi="Verdana"/>
          <w:sz w:val="22"/>
          <w:szCs w:val="22"/>
        </w:rPr>
        <w:t xml:space="preserve">) </w:t>
      </w:r>
      <w:r>
        <w:rPr>
          <w:rFonts w:ascii="Verdana" w:hAnsi="Verdana"/>
          <w:sz w:val="22"/>
          <w:szCs w:val="22"/>
        </w:rPr>
        <w:tab/>
        <w:t>Felhatalmazza a Közvetítőt a hitelügylethez kapcsolódó banktitok/üzleti titok átadására az MFB Zrt. számára.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Hiány/hiba esetén a Közvetítő kéri az ügyfelet a szükséges korrekcióra, pótlásra. 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formailag ellenőrzött és megfelelőnek ítélt igénylési dokumentációt a Közvetítő átveszi, és tájékoztatja az ügyfelet a továbbiakról – elsősorban a hitelbírálat várható időigényéről.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hitelbírálatot a Közvetítő végzi. Amennyiben a hitelbírálat során további adatok, dokumentumok, egyéb információk szükségesek, a Közvetítő veszi fel a kapcsolatot az ügyféllel és egyeztet írásban, telefonon, vagy személyesen. A hitelügylet teljes dokumentációját a Közvetítő köteles tárolni, kezelni, a Társaság alapesetben csak elektronikus úton kapja meg a hitelügylet paramétereit. Hiteligénylés folyamatának kötelező eleme a Kedvezményezettel történő személyes találkozás és azonosítás.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Szintén a Közvetítő tájékoztatja az ügyfelet a hiteldöntésről (írásban, hivatalos formában). Pozitív döntés esetén sor kerül a hitelszerződés megkötésére, amelyhez az ügyfélnek ismételten személyesen meg kell jelennie a Közvetítőnél. Elutasítás esetén a hivatalos értesítésben fel kell tüntetni a negatív döntés okát.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esetleges folyósítási feltételek teljesülésekor a Közvetítő folyósítja a hitelt az ügyfél részére.</w:t>
      </w:r>
    </w:p>
    <w:p w:rsidR="00E539D0" w:rsidRDefault="00E539D0" w:rsidP="00E539D0">
      <w:pPr>
        <w:pStyle w:val="Szvegtrzs"/>
        <w:numPr>
          <w:ilvl w:val="2"/>
          <w:numId w:val="11"/>
        </w:numPr>
        <w:tabs>
          <w:tab w:val="clear" w:pos="2160"/>
          <w:tab w:val="num" w:pos="426"/>
        </w:tabs>
        <w:spacing w:before="240" w:after="0" w:line="260" w:lineRule="atLeast"/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hitel fennállása alatt a Közvetítő kezeli a kamat- és tőketörlesztéseket, és tartja a kapcsolatot az ügyféllel (pl. időszaki elszámolások, kimutatások, hivatalos értesítések postázása, esetleges késedelmekkel kapcsolatos kommunikáció stb.). 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 xml:space="preserve"> különböző elszámolások stb. összeállítása, kinyomtatása, postázása a Közvetítő feladata (kiemelendő ezek közül a Közvetítői Szerződés 9.4 pontjában szabályozott támogatástartalom-igazolás).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pStyle w:val="Cmsor3"/>
        <w:numPr>
          <w:ilvl w:val="1"/>
          <w:numId w:val="12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bookmarkStart w:id="36" w:name="_Toc179790994"/>
      <w:bookmarkStart w:id="37" w:name="_Toc179791102"/>
      <w:bookmarkStart w:id="38" w:name="_Toc179791192"/>
      <w:bookmarkStart w:id="39" w:name="_Toc179953092"/>
      <w:bookmarkStart w:id="40" w:name="_Toc179953153"/>
      <w:bookmarkStart w:id="41" w:name="_Toc179954739"/>
      <w:r>
        <w:rPr>
          <w:rFonts w:ascii="Verdana" w:hAnsi="Verdana"/>
          <w:i/>
          <w:iCs/>
          <w:u w:val="single"/>
        </w:rPr>
        <w:t>Ügyleti szerződések lezárása</w:t>
      </w:r>
    </w:p>
    <w:p w:rsidR="00E539D0" w:rsidRDefault="00E539D0" w:rsidP="00E539D0">
      <w:pPr>
        <w:pStyle w:val="Cmsor3"/>
        <w:rPr>
          <w:rFonts w:ascii="Verdana" w:hAnsi="Verdana"/>
        </w:rPr>
      </w:pPr>
      <w:r>
        <w:rPr>
          <w:rFonts w:ascii="Verdana" w:hAnsi="Verdana"/>
        </w:rPr>
        <w:t>A törlesztési ütemtervnek – vagy annak módosítása esetén az átütemezett ütemtervnek – megfelelő hiteltörlesztés esetén a hitel automatikusan kifut a futamidő végén.</w:t>
      </w:r>
    </w:p>
    <w:p w:rsidR="00E539D0" w:rsidRDefault="00E539D0" w:rsidP="00E539D0">
      <w:pPr>
        <w:pStyle w:val="AODocTxt"/>
        <w:numPr>
          <w:ilvl w:val="0"/>
          <w:numId w:val="0"/>
        </w:numPr>
        <w:rPr>
          <w:rFonts w:ascii="Verdana" w:hAnsi="Verdana"/>
        </w:rPr>
      </w:pPr>
      <w:r w:rsidRPr="0073252D">
        <w:rPr>
          <w:rFonts w:ascii="Verdana" w:hAnsi="Verdana"/>
        </w:rPr>
        <w:t xml:space="preserve">A lezárt vagy lezárásra kerülő </w:t>
      </w:r>
      <w:r>
        <w:rPr>
          <w:rFonts w:ascii="Verdana" w:hAnsi="Verdana"/>
        </w:rPr>
        <w:t xml:space="preserve">(lezárt, felmondott) </w:t>
      </w:r>
      <w:r w:rsidRPr="0073252D">
        <w:rPr>
          <w:rFonts w:ascii="Verdana" w:hAnsi="Verdana"/>
        </w:rPr>
        <w:t xml:space="preserve">ügyletek kapcsán a közvetítő köteles az ügylettel kapcsolatban a végső kedvezményezett által megfizetett valamennyi díjról és kamatról </w:t>
      </w:r>
      <w:r>
        <w:rPr>
          <w:rFonts w:ascii="Verdana" w:hAnsi="Verdana"/>
        </w:rPr>
        <w:t xml:space="preserve">(ügyleti és késedelmi) </w:t>
      </w:r>
      <w:r w:rsidRPr="0073252D">
        <w:rPr>
          <w:rFonts w:ascii="Verdana" w:hAnsi="Verdana"/>
        </w:rPr>
        <w:t>összegszerű tájékoztatást adni.</w:t>
      </w:r>
    </w:p>
    <w:p w:rsidR="00E539D0" w:rsidRDefault="00E539D0" w:rsidP="00E539D0">
      <w:pPr>
        <w:pStyle w:val="Cmsor3"/>
        <w:rPr>
          <w:rFonts w:ascii="Verdana" w:hAnsi="Verdana"/>
        </w:rPr>
      </w:pPr>
      <w:r>
        <w:rPr>
          <w:rFonts w:ascii="Verdana" w:hAnsi="Verdana"/>
        </w:rPr>
        <w:lastRenderedPageBreak/>
        <w:t>Felmondott ügyletek esetében a Közvetítő saját hatáskörben elindítja a behajtás vagy engedményezés folyamatát. Ebben az esetben a behajtás módjáról és eredményéről a Közvetítőnek nem kell tájékoztatnia a Társaságot, mindössze a behajtás elindítását, majd ezt követően az ügylet végleges lezárásának tényét kell közölnie, az esetleges veszteségek – behajthatatlan tőkekövetelés – pótlását követően.</w:t>
      </w:r>
    </w:p>
    <w:p w:rsidR="00E539D0" w:rsidRDefault="00E539D0" w:rsidP="00E539D0">
      <w:pPr>
        <w:pStyle w:val="Cmsor3"/>
        <w:jc w:val="center"/>
        <w:rPr>
          <w:rFonts w:ascii="Verdana" w:hAnsi="Verdana"/>
          <w:b/>
          <w:bCs/>
        </w:rPr>
      </w:pPr>
    </w:p>
    <w:p w:rsidR="00E539D0" w:rsidRDefault="00E539D0" w:rsidP="00E539D0">
      <w:pPr>
        <w:pStyle w:val="Cmsor3"/>
        <w:jc w:val="center"/>
        <w:rPr>
          <w:rFonts w:ascii="Verdana" w:hAnsi="Verdana"/>
          <w:b/>
          <w:bCs/>
        </w:rPr>
      </w:pPr>
      <w:r>
        <w:rPr>
          <w:rFonts w:ascii="Verdana" w:hAnsi="Verdana"/>
          <w:b/>
          <w:bCs/>
        </w:rPr>
        <w:t xml:space="preserve">II. </w:t>
      </w:r>
      <w:proofErr w:type="gramStart"/>
      <w:r>
        <w:rPr>
          <w:rFonts w:ascii="Verdana" w:hAnsi="Verdana"/>
          <w:b/>
          <w:bCs/>
        </w:rPr>
        <w:t>A</w:t>
      </w:r>
      <w:proofErr w:type="gramEnd"/>
      <w:r>
        <w:rPr>
          <w:rFonts w:ascii="Verdana" w:hAnsi="Verdana"/>
          <w:b/>
          <w:bCs/>
        </w:rPr>
        <w:t xml:space="preserve"> Társaság által biztosított veszteségmegosztás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Közvetítőnek lehetősége van igénybe venni </w:t>
      </w:r>
      <w:r>
        <w:rPr>
          <w:rFonts w:ascii="Verdana" w:hAnsi="Verdana"/>
          <w:b/>
          <w:bCs/>
          <w:sz w:val="22"/>
          <w:szCs w:val="22"/>
        </w:rPr>
        <w:t>a Társaság által refinanszírozott hitelek tekintetében a realizált veszteségeinek megosztását</w:t>
      </w:r>
      <w:r>
        <w:rPr>
          <w:rFonts w:ascii="Verdana" w:hAnsi="Verdana"/>
          <w:sz w:val="22"/>
          <w:szCs w:val="22"/>
        </w:rPr>
        <w:t>.</w:t>
      </w: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1. Veszteség megosztása</w:t>
      </w:r>
    </w:p>
    <w:p w:rsidR="00E539D0" w:rsidRDefault="00E539D0" w:rsidP="00E539D0">
      <w:pPr>
        <w:spacing w:before="240" w:line="260" w:lineRule="atLeast"/>
        <w:jc w:val="center"/>
        <w:rPr>
          <w:rFonts w:ascii="Verdana" w:hAnsi="Verdana"/>
          <w:b/>
          <w:sz w:val="22"/>
          <w:szCs w:val="22"/>
        </w:rPr>
      </w:pPr>
      <w:r>
        <w:rPr>
          <w:rFonts w:ascii="Verdana" w:hAnsi="Verdana"/>
          <w:b/>
          <w:sz w:val="22"/>
          <w:szCs w:val="22"/>
        </w:rPr>
        <w:t>Előzmény</w:t>
      </w:r>
    </w:p>
    <w:p w:rsidR="00E539D0" w:rsidRDefault="00E539D0" w:rsidP="00E539D0">
      <w:pPr>
        <w:pStyle w:val="Szvegtrzs"/>
        <w:tabs>
          <w:tab w:val="num" w:pos="540"/>
        </w:tabs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Közvetítő által közölt adatok alapján IT rendszerben rögzítette a refinanszírozott hitel lezárását, illetve az elszámolandó veszteség pontos összegét. </w:t>
      </w:r>
    </w:p>
    <w:p w:rsidR="00E539D0" w:rsidRDefault="00E539D0" w:rsidP="00E539D0">
      <w:pPr>
        <w:spacing w:before="240" w:line="260" w:lineRule="atLeast"/>
        <w:jc w:val="center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 veszteség megosztásának feltételei</w:t>
      </w:r>
    </w:p>
    <w:p w:rsidR="00E539D0" w:rsidRDefault="00E539D0" w:rsidP="00E539D0">
      <w:pPr>
        <w:pStyle w:val="Lista0"/>
        <w:tabs>
          <w:tab w:val="clear" w:pos="360"/>
        </w:tabs>
        <w:spacing w:before="240" w:after="0" w:line="260" w:lineRule="atLeast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jogosult megosztani veszteségét, amennyiben egy adott hitel esetében előzőleg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</w:t>
      </w:r>
      <w:proofErr w:type="spellStart"/>
      <w:r>
        <w:rPr>
          <w:rFonts w:ascii="Verdana" w:hAnsi="Verdana"/>
          <w:sz w:val="22"/>
          <w:szCs w:val="22"/>
        </w:rPr>
        <w:t>Veszteségmegosztási</w:t>
      </w:r>
      <w:proofErr w:type="spellEnd"/>
      <w:r>
        <w:rPr>
          <w:rFonts w:ascii="Verdana" w:hAnsi="Verdana"/>
          <w:sz w:val="22"/>
          <w:szCs w:val="22"/>
        </w:rPr>
        <w:t xml:space="preserve"> Kérelmet – jelen Szerződés </w:t>
      </w:r>
      <w:r>
        <w:rPr>
          <w:rFonts w:ascii="Verdana" w:hAnsi="Verdana"/>
          <w:sz w:val="22"/>
          <w:szCs w:val="22"/>
          <w:u w:val="single"/>
        </w:rPr>
        <w:t xml:space="preserve">3. sz. melléklete </w:t>
      </w:r>
      <w:r>
        <w:rPr>
          <w:rFonts w:ascii="Verdana" w:hAnsi="Verdana"/>
          <w:sz w:val="22"/>
          <w:szCs w:val="22"/>
        </w:rPr>
        <w:t>alapján - a Társaság részére postai úton megküldte, illetve az ügyfél és ügyletazonosító feltüntetésével és az alább megjelölt dokumentumokat a Társaság részére benyújtotta: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hátraléki kimutatás, mely tartalmazza a Kedvezményezettel szemben fennálló tőkekintlévőség pontos összegét,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teljes elszámolást a behajtásról, mely tartalmazza a behajtási tevékenységből befolyó összegek tételes kimutatását, 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Végrehajtási Törvény 55§ (1) bekezdése alapján a végrehajtási eljárás </w:t>
      </w:r>
      <w:proofErr w:type="spellStart"/>
      <w:r>
        <w:rPr>
          <w:rFonts w:ascii="Verdana" w:hAnsi="Verdana"/>
          <w:sz w:val="22"/>
          <w:szCs w:val="22"/>
        </w:rPr>
        <w:t>lezárultát</w:t>
      </w:r>
      <w:proofErr w:type="spellEnd"/>
      <w:r>
        <w:rPr>
          <w:rFonts w:ascii="Verdana" w:hAnsi="Verdana"/>
          <w:sz w:val="22"/>
          <w:szCs w:val="22"/>
        </w:rPr>
        <w:t xml:space="preserve"> igazoló dokumentum, és a végrehajtó elszámolása a kényszereljárásból befolyó összegekkel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csőd-, felszámolási vagy végelszámolási eljárás esetén a Cégközlöny kivonata, mely szerint az eljárások lezárultak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Hitelszerződés és annak módosításai Közvetítő által hitelesített, eredetivel megegyező </w:t>
      </w:r>
      <w:proofErr w:type="gramStart"/>
      <w:r>
        <w:rPr>
          <w:rFonts w:ascii="Verdana" w:hAnsi="Verdana"/>
          <w:sz w:val="22"/>
          <w:szCs w:val="22"/>
        </w:rPr>
        <w:t>példánya(</w:t>
      </w:r>
      <w:proofErr w:type="gramEnd"/>
      <w:r>
        <w:rPr>
          <w:rFonts w:ascii="Verdana" w:hAnsi="Verdana"/>
          <w:sz w:val="22"/>
          <w:szCs w:val="22"/>
        </w:rPr>
        <w:t>i);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biztosítéki </w:t>
      </w:r>
      <w:proofErr w:type="gramStart"/>
      <w:r>
        <w:rPr>
          <w:rFonts w:ascii="Verdana" w:hAnsi="Verdana"/>
          <w:sz w:val="22"/>
          <w:szCs w:val="22"/>
        </w:rPr>
        <w:t>szerződés(</w:t>
      </w:r>
      <w:proofErr w:type="spellStart"/>
      <w:proofErr w:type="gramEnd"/>
      <w:r>
        <w:rPr>
          <w:rFonts w:ascii="Verdana" w:hAnsi="Verdana"/>
          <w:sz w:val="22"/>
          <w:szCs w:val="22"/>
        </w:rPr>
        <w:t>ek</w:t>
      </w:r>
      <w:proofErr w:type="spellEnd"/>
      <w:r>
        <w:rPr>
          <w:rFonts w:ascii="Verdana" w:hAnsi="Verdana"/>
          <w:sz w:val="22"/>
          <w:szCs w:val="22"/>
        </w:rPr>
        <w:t>) és annak módosításai Közvetítő által hitelesített, eredetivel megegyező példánya(i);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szerződést felmondó okirat;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folyósítás feltételeinek teljesítését igazoló dokumentumok;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Kedvezményezetthez intézett, a szerződésszegési ok megszüntetésére irányuló felszólítás és a felmondó levél másolata, a szabályszerű kézbesítést </w:t>
      </w:r>
      <w:r>
        <w:rPr>
          <w:rFonts w:ascii="Verdana" w:hAnsi="Verdana"/>
          <w:sz w:val="22"/>
          <w:szCs w:val="22"/>
        </w:rPr>
        <w:lastRenderedPageBreak/>
        <w:t xml:space="preserve">igazoló tértivevény másolatával együtt (A felmondó levél akkor tekinthető szabályszerűen kézbesítettnek, ha a tértivevényen a kézbesítést a Kedvezményezett aláírásával igazolta, ha kényszerkézbesítés történt, vagy ha a tértivevényt a posta „a címzett ismeretlen”, illetve „ismeretlen helyre költözött” jelzéssel küldte vissza. Ha a megadott címen a címzett nem található meg, a felmondó levelet a 2. (második) postai figyelmeztetés időpontjától számított 5. (ötödik) munkanapon kell kézbesítettnek tekinteni.), </w:t>
      </w:r>
    </w:p>
    <w:p w:rsidR="00E539D0" w:rsidRDefault="00E539D0" w:rsidP="00E539D0">
      <w:pPr>
        <w:numPr>
          <w:ilvl w:val="0"/>
          <w:numId w:val="3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Kedvezményezetthez intézett fizetési felszólító levelek másolata, 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Közvetítő által benyújtott dokumentumokat megvizsgálja. Amennyiben ezek hiánytalanok, a Társaság a kérelem beérkezésétől számított 15 (tizenöt) munkanapon belül visszajelzést küld a veszteség-elszámolás </w:t>
      </w:r>
      <w:proofErr w:type="gramStart"/>
      <w:r>
        <w:rPr>
          <w:rFonts w:ascii="Verdana" w:hAnsi="Verdana"/>
          <w:sz w:val="22"/>
          <w:szCs w:val="22"/>
        </w:rPr>
        <w:t>eredményéről(</w:t>
      </w:r>
      <w:proofErr w:type="gramEnd"/>
      <w:r>
        <w:rPr>
          <w:rFonts w:ascii="Verdana" w:hAnsi="Verdana"/>
          <w:sz w:val="22"/>
          <w:szCs w:val="22"/>
        </w:rPr>
        <w:t xml:space="preserve">4. sz. melléklet szerint). Ha a benyújtott dokumentáció hiányos, a </w:t>
      </w:r>
      <w:proofErr w:type="gramStart"/>
      <w:r>
        <w:rPr>
          <w:rFonts w:ascii="Verdana" w:hAnsi="Verdana"/>
          <w:sz w:val="22"/>
          <w:szCs w:val="22"/>
        </w:rPr>
        <w:t>Társaság írásban</w:t>
      </w:r>
      <w:proofErr w:type="gramEnd"/>
      <w:r>
        <w:rPr>
          <w:rFonts w:ascii="Verdana" w:hAnsi="Verdana"/>
          <w:sz w:val="22"/>
          <w:szCs w:val="22"/>
        </w:rPr>
        <w:t xml:space="preserve"> hiánypótlást kezdeményezhet, ennek időtartamával a határidő meghosszabbodik. A hiánypótlás teljesítésére annak kezdeményezésétől számított 6 (hat) hónapon belül van lehetőség. </w:t>
      </w:r>
    </w:p>
    <w:p w:rsidR="00E539D0" w:rsidRDefault="00E539D0" w:rsidP="00E539D0">
      <w:pPr>
        <w:spacing w:before="240" w:line="260" w:lineRule="atLeast"/>
        <w:rPr>
          <w:rFonts w:ascii="Verdana" w:hAnsi="Verdana"/>
          <w:b/>
          <w:bCs/>
          <w:sz w:val="22"/>
          <w:szCs w:val="22"/>
        </w:rPr>
      </w:pPr>
      <w:r>
        <w:rPr>
          <w:rFonts w:ascii="Verdana" w:hAnsi="Verdana"/>
          <w:b/>
          <w:bCs/>
          <w:sz w:val="22"/>
          <w:szCs w:val="22"/>
        </w:rPr>
        <w:t>A Társaság a veszteségmegosztás teljesítését megtagadhatja, ha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 Társaság hozzájárulása nélkül lemondott az adott hitelt biztosító valamely jogról, vagy amennyiben a követelés a Közvetítő hibájából egyébként behajthatatlanná vált;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az adott hitel tekintetében megszegte a Közvetítői Szerződésben, illetve a jelen dokumentumban meghatározott valamely kötelezettségét;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Hitelszerződést a Társaság Jogosulatlan forrás-felhasználású ügyletnek minősíti;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az ügylet során Közvetítői Jogosulatlan forrásfelhasználás kerül megállapításra a teljes veszteség a Közvetítőt terheli;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adott hitelszerződést vagy az ahhoz kapcsolódó biztosítéki szerződést jogosulatlan személy írta alá a Kedvezményezett vagy a biztosítékot nyújtó részéről, amennyiben e körülményről a Közvetítő tudomással rendelkezett, vagy elvárható gondossága esetén tudomást szerezhetett volna; 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 folyósítását megelőzően a Kedvezményezettel szemben elrendelt csőd-, felszámolási- vagy végelszámolási eljárás megindításáról vagy a cégnyilvántartásból való törléséről szóló határozat a Cégközlönyben megjelent; illetve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adott hitel Közvetítő általi folyósítására a Hitelszerződésben meghatározott folyósítási feltételek teljesülése nélkül került sor;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 lezárási adatközlésében veszteséget nem jelent, illetve ezt utólag teszi meg;</w:t>
      </w:r>
    </w:p>
    <w:p w:rsidR="00E539D0" w:rsidRDefault="00E539D0" w:rsidP="00E539D0">
      <w:pPr>
        <w:numPr>
          <w:ilvl w:val="0"/>
          <w:numId w:val="7"/>
        </w:numPr>
        <w:tabs>
          <w:tab w:val="clear" w:pos="720"/>
          <w:tab w:val="num" w:pos="426"/>
        </w:tabs>
        <w:spacing w:before="12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hiánypótlásra irányuló felhívásnak a Közvetítő a meghatározott határidőn belül nem tesz eleget.</w:t>
      </w:r>
    </w:p>
    <w:p w:rsidR="00E539D0" w:rsidRDefault="00E539D0" w:rsidP="00E539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lastRenderedPageBreak/>
        <w:t>2.  A veszteség megosztásának aránya – a veszteség megosztási korlát</w:t>
      </w:r>
    </w:p>
    <w:p w:rsidR="00E539D0" w:rsidRDefault="00E539D0" w:rsidP="00E539D0">
      <w:pPr>
        <w:rPr>
          <w:rFonts w:ascii="Verdana" w:hAnsi="Verdana"/>
          <w:sz w:val="22"/>
          <w:szCs w:val="22"/>
        </w:rPr>
      </w:pPr>
    </w:p>
    <w:p w:rsidR="00E539D0" w:rsidRDefault="00E539D0" w:rsidP="00E539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veszteség-megosztási korlát a teljes folyósított hitelállomány szerződéskori refinanszírozott összegéből - azaz Közvetítő által a Kedvezményezettnek folyósított (kifizetett) Hitelek összege, nem figyelembe véve a Kedvezményezett által visszafizetett (törlesztett) összegeket - kerül meghatározásra, az alábbi táblázatban rögzített módon:</w:t>
      </w:r>
    </w:p>
    <w:p w:rsidR="00E539D0" w:rsidRDefault="00E539D0" w:rsidP="00E539D0">
      <w:pPr>
        <w:rPr>
          <w:rFonts w:ascii="Verdana" w:hAnsi="Verdana"/>
          <w:sz w:val="22"/>
          <w:szCs w:val="22"/>
        </w:rPr>
      </w:pPr>
    </w:p>
    <w:tbl>
      <w:tblPr>
        <w:tblW w:w="6680" w:type="dxa"/>
        <w:jc w:val="center"/>
        <w:tblInd w:w="55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628"/>
        <w:gridCol w:w="2692"/>
        <w:gridCol w:w="1680"/>
        <w:gridCol w:w="1680"/>
      </w:tblGrid>
      <w:tr w:rsidR="00E539D0" w:rsidTr="001159B2">
        <w:trPr>
          <w:trHeight w:val="720"/>
          <w:jc w:val="center"/>
        </w:trPr>
        <w:tc>
          <w:tcPr>
            <w:tcW w:w="3320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A Hitelportfolió veszteségének sávos mértékei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 xml:space="preserve">Társaság által átvállalt rész </w:t>
            </w:r>
          </w:p>
        </w:tc>
        <w:tc>
          <w:tcPr>
            <w:tcW w:w="168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b/>
                <w:bCs/>
                <w:color w:val="000000"/>
              </w:rPr>
            </w:pPr>
            <w:r>
              <w:rPr>
                <w:rFonts w:ascii="Verdana" w:hAnsi="Verdana"/>
                <w:b/>
                <w:bCs/>
                <w:color w:val="000000"/>
                <w:sz w:val="22"/>
                <w:szCs w:val="22"/>
              </w:rPr>
              <w:t>Közvetítő által viselt rész</w:t>
            </w:r>
          </w:p>
        </w:tc>
      </w:tr>
      <w:tr w:rsidR="00E539D0" w:rsidTr="001159B2">
        <w:trPr>
          <w:trHeight w:val="58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0 - 5%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0%</w:t>
            </w:r>
          </w:p>
        </w:tc>
      </w:tr>
      <w:tr w:rsidR="00E539D0" w:rsidTr="001159B2">
        <w:trPr>
          <w:trHeight w:val="58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2.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5 - 10%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50%</w:t>
            </w:r>
          </w:p>
        </w:tc>
      </w:tr>
      <w:tr w:rsidR="00E539D0" w:rsidTr="001159B2">
        <w:trPr>
          <w:trHeight w:val="58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10 - 15%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30%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70%</w:t>
            </w:r>
          </w:p>
        </w:tc>
      </w:tr>
      <w:tr w:rsidR="00E539D0" w:rsidTr="001159B2">
        <w:trPr>
          <w:trHeight w:val="585"/>
          <w:jc w:val="center"/>
        </w:trPr>
        <w:tc>
          <w:tcPr>
            <w:tcW w:w="62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4.</w:t>
            </w:r>
          </w:p>
        </w:tc>
        <w:tc>
          <w:tcPr>
            <w:tcW w:w="269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15% -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0%</w:t>
            </w:r>
          </w:p>
        </w:tc>
        <w:tc>
          <w:tcPr>
            <w:tcW w:w="168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vAlign w:val="center"/>
          </w:tcPr>
          <w:p w:rsidR="00E539D0" w:rsidRDefault="00E539D0" w:rsidP="001159B2">
            <w:pPr>
              <w:jc w:val="center"/>
              <w:rPr>
                <w:rFonts w:ascii="Verdana" w:hAnsi="Verdana"/>
                <w:color w:val="000000"/>
              </w:rPr>
            </w:pPr>
            <w:r>
              <w:rPr>
                <w:rFonts w:ascii="Verdana" w:hAnsi="Verdana"/>
                <w:color w:val="000000"/>
                <w:sz w:val="22"/>
                <w:szCs w:val="22"/>
              </w:rPr>
              <w:t>100%</w:t>
            </w:r>
          </w:p>
        </w:tc>
      </w:tr>
    </w:tbl>
    <w:p w:rsidR="00E539D0" w:rsidRDefault="00E539D0" w:rsidP="00E539D0">
      <w:pPr>
        <w:spacing w:before="240" w:line="260" w:lineRule="atLeast"/>
        <w:rPr>
          <w:rFonts w:ascii="Verdana" w:hAnsi="Verdana"/>
          <w:b/>
          <w:sz w:val="22"/>
          <w:szCs w:val="22"/>
        </w:rPr>
      </w:pP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vizsgált időszaki fennálló </w:t>
      </w:r>
      <w:proofErr w:type="spellStart"/>
      <w:r>
        <w:rPr>
          <w:rFonts w:ascii="Verdana" w:hAnsi="Verdana"/>
          <w:sz w:val="22"/>
          <w:szCs w:val="22"/>
        </w:rPr>
        <w:t>szerződéskötéskori</w:t>
      </w:r>
      <w:proofErr w:type="spellEnd"/>
      <w:r>
        <w:rPr>
          <w:rFonts w:ascii="Verdana" w:hAnsi="Verdana"/>
          <w:sz w:val="22"/>
          <w:szCs w:val="22"/>
        </w:rPr>
        <w:t xml:space="preserve"> refinanszírozott állomány</w:t>
      </w:r>
    </w:p>
    <w:p w:rsidR="00E539D0" w:rsidRDefault="00E539D0" w:rsidP="00E539D0">
      <w:pPr>
        <w:numPr>
          <w:ilvl w:val="0"/>
          <w:numId w:val="10"/>
        </w:numPr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első 5%-ig a Társaság átvállalja a realizált teljes veszteséget. </w:t>
      </w:r>
    </w:p>
    <w:p w:rsidR="00E539D0" w:rsidRDefault="00E539D0" w:rsidP="00E539D0">
      <w:pPr>
        <w:numPr>
          <w:ilvl w:val="0"/>
          <w:numId w:val="10"/>
        </w:numPr>
        <w:ind w:left="709" w:hanging="283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az 5% és 10% közötti realizált veszteségen a Közvetítő és Társaság 50-50%-ban osztozik, </w:t>
      </w:r>
    </w:p>
    <w:p w:rsidR="00E539D0" w:rsidRDefault="00E539D0" w:rsidP="00E539D0">
      <w:pPr>
        <w:numPr>
          <w:ilvl w:val="0"/>
          <w:numId w:val="10"/>
        </w:numPr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10% és 15% közötti realizált veszteségen pedig 70-30%-ban.</w:t>
      </w:r>
    </w:p>
    <w:p w:rsidR="00E539D0" w:rsidRDefault="00E539D0" w:rsidP="00E539D0">
      <w:pPr>
        <w:numPr>
          <w:ilvl w:val="0"/>
          <w:numId w:val="10"/>
        </w:numPr>
        <w:ind w:left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15% felett realizált veszteség teljes egészében a Közvetítőt terheli.</w:t>
      </w:r>
    </w:p>
    <w:p w:rsidR="00E539D0" w:rsidRDefault="00E539D0" w:rsidP="00E539D0">
      <w:pPr>
        <w:pStyle w:val="AODocTxt"/>
        <w:numPr>
          <w:ilvl w:val="0"/>
          <w:numId w:val="2"/>
        </w:numPr>
        <w:rPr>
          <w:rFonts w:ascii="Verdana" w:hAnsi="Verdana"/>
          <w:b/>
        </w:rPr>
      </w:pPr>
      <w:r>
        <w:rPr>
          <w:rFonts w:ascii="Verdana" w:hAnsi="Verdana"/>
          <w:b/>
        </w:rPr>
        <w:t>A veszteségátvállalás korlát meghatározásának módszertana</w:t>
      </w:r>
    </w:p>
    <w:p w:rsidR="00E539D0" w:rsidRDefault="00E539D0" w:rsidP="00E539D0">
      <w:pPr>
        <w:pStyle w:val="AODocTxt"/>
        <w:numPr>
          <w:ilvl w:val="0"/>
          <w:numId w:val="2"/>
        </w:numPr>
        <w:spacing w:before="0"/>
        <w:rPr>
          <w:rFonts w:ascii="Verdana" w:hAnsi="Verdana"/>
        </w:rPr>
      </w:pPr>
      <w:r>
        <w:rPr>
          <w:rFonts w:ascii="Verdana" w:hAnsi="Verdana"/>
        </w:rPr>
        <w:t xml:space="preserve">A korlát az adott negyedév vége előtt folyósított teljes Hitel-állomány szerződéskori refinanszírozott összege alapján határozandók meg, az alábbi képlet szerint: </w:t>
      </w:r>
    </w:p>
    <w:p w:rsidR="00E539D0" w:rsidRDefault="00E539D0" w:rsidP="00E539D0">
      <w:pPr>
        <w:pStyle w:val="Cmsor3"/>
        <w:spacing w:before="0"/>
        <w:jc w:val="center"/>
        <w:rPr>
          <w:rFonts w:ascii="Verdana" w:hAnsi="Verdana"/>
          <w:b/>
        </w:rPr>
      </w:pP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V</m:t>
            </m:r>
          </m:e>
          <m:sub>
            <m:r>
              <w:rPr>
                <w:rFonts w:ascii="Cambria Math" w:hAnsi="Cambria Math"/>
              </w:rPr>
              <m:t>k</m:t>
            </m:r>
          </m:sub>
        </m:sSub>
        <m: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REF</m:t>
            </m:r>
          </m:e>
          <m:sub>
            <m:r>
              <w:rPr>
                <w:rFonts w:ascii="Cambria Math" w:hAnsi="Cambria Math"/>
              </w:rPr>
              <m:t>ij</m:t>
            </m:r>
          </m:sub>
        </m:sSub>
      </m:oMath>
      <w:r>
        <w:rPr>
          <w:rFonts w:ascii="Verdana" w:hAnsi="Verdana"/>
          <w:b/>
        </w:rPr>
        <w:fldChar w:fldCharType="begin"/>
      </w:r>
      <w:r>
        <w:rPr>
          <w:rFonts w:ascii="Verdana" w:hAnsi="Verdana"/>
          <w:b/>
        </w:rPr>
        <w:instrText xml:space="preserve"> QUOTE </w:instrText>
      </w:r>
      <m:oMath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V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k</m:t>
            </m:r>
          </m:sub>
        </m:sSub>
        <m:r>
          <m:rPr>
            <m:sty m:val="p"/>
          </m:rPr>
          <w:rPr>
            <w:rFonts w:ascii="Cambria Math" w:hAnsi="Cambria Math"/>
          </w:rPr>
          <m:t>=</m:t>
        </m:r>
        <m:sSub>
          <m:sSubPr>
            <m:ctrlPr>
              <w:rPr>
                <w:rFonts w:ascii="Cambria Math" w:eastAsia="Calibri" w:hAnsi="Cambria Math"/>
                <w:i/>
              </w:rPr>
            </m:ctrlPr>
          </m:sSubPr>
          <m:e>
            <m:r>
              <m:rPr>
                <m:sty m:val="p"/>
              </m:rPr>
              <w:rPr>
                <w:rFonts w:ascii="Cambria Math" w:hAnsi="Cambria Math"/>
              </w:rPr>
              <m:t>REF</m:t>
            </m:r>
          </m:e>
          <m:sub>
            <m:r>
              <m:rPr>
                <m:sty m:val="p"/>
              </m:rPr>
              <w:rPr>
                <w:rFonts w:ascii="Cambria Math" w:hAnsi="Cambria Math"/>
              </w:rPr>
              <m:t>i</m:t>
            </m:r>
          </m:sub>
        </m:sSub>
      </m:oMath>
      <w:r>
        <w:rPr>
          <w:rFonts w:ascii="Verdana" w:hAnsi="Verdana"/>
          <w:b/>
        </w:rPr>
        <w:instrText xml:space="preserve"> </w:instrText>
      </w:r>
      <w:r>
        <w:rPr>
          <w:rFonts w:ascii="Verdana" w:hAnsi="Verdana"/>
          <w:b/>
        </w:rPr>
        <w:fldChar w:fldCharType="end"/>
      </w:r>
    </w:p>
    <w:p w:rsidR="00E539D0" w:rsidRDefault="00E539D0" w:rsidP="00E539D0">
      <w:pPr>
        <w:pStyle w:val="Cmsor3"/>
        <w:spacing w:before="0"/>
        <w:rPr>
          <w:rFonts w:ascii="Verdana" w:hAnsi="Verdana"/>
        </w:rPr>
      </w:pPr>
      <w:proofErr w:type="gramStart"/>
      <w:r>
        <w:rPr>
          <w:rFonts w:ascii="Verdana" w:hAnsi="Verdana"/>
        </w:rPr>
        <w:t>ahol</w:t>
      </w:r>
      <w:proofErr w:type="gramEnd"/>
    </w:p>
    <w:p w:rsidR="00E539D0" w:rsidRDefault="00E539D0" w:rsidP="00E539D0">
      <w:pPr>
        <w:pStyle w:val="Cmsor3"/>
        <w:spacing w:before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V</w:t>
      </w:r>
      <w:r>
        <w:rPr>
          <w:rFonts w:ascii="Verdana" w:hAnsi="Verdana"/>
          <w:b/>
          <w:vertAlign w:val="subscript"/>
        </w:rPr>
        <w:t>k</w:t>
      </w:r>
      <w:proofErr w:type="spellEnd"/>
      <w:r>
        <w:rPr>
          <w:rFonts w:ascii="Verdana" w:hAnsi="Verdana"/>
          <w:b/>
        </w:rPr>
        <w:t xml:space="preserve">: </w:t>
      </w:r>
      <w:r>
        <w:rPr>
          <w:rFonts w:ascii="Verdana" w:hAnsi="Verdana"/>
        </w:rPr>
        <w:t xml:space="preserve">veszteség-megosztási korlát a </w:t>
      </w:r>
      <w:proofErr w:type="spellStart"/>
      <w:r>
        <w:rPr>
          <w:rFonts w:ascii="Verdana" w:hAnsi="Verdana"/>
        </w:rPr>
        <w:t>j-dik</w:t>
      </w:r>
      <w:proofErr w:type="spellEnd"/>
      <w:r>
        <w:rPr>
          <w:rFonts w:ascii="Verdana" w:hAnsi="Verdana"/>
        </w:rPr>
        <w:t xml:space="preserve"> negyedévben</w:t>
      </w:r>
    </w:p>
    <w:p w:rsidR="00E539D0" w:rsidRDefault="00E539D0" w:rsidP="00E539D0">
      <w:pPr>
        <w:pStyle w:val="Cmsor3"/>
        <w:spacing w:before="0"/>
        <w:rPr>
          <w:rFonts w:ascii="Verdana" w:hAnsi="Verdana"/>
        </w:rPr>
      </w:pPr>
      <w:r>
        <w:rPr>
          <w:rFonts w:ascii="Verdana" w:hAnsi="Verdana"/>
          <w:b/>
        </w:rPr>
        <w:t xml:space="preserve">j: </w:t>
      </w:r>
      <w:r>
        <w:rPr>
          <w:rFonts w:ascii="Verdana" w:hAnsi="Verdana"/>
        </w:rPr>
        <w:t xml:space="preserve">negyedévek száma </w:t>
      </w:r>
    </w:p>
    <w:p w:rsidR="00E539D0" w:rsidRDefault="00E539D0" w:rsidP="00E539D0">
      <w:pPr>
        <w:pStyle w:val="Cmsor3"/>
        <w:spacing w:before="0"/>
        <w:rPr>
          <w:rFonts w:ascii="Verdana" w:hAnsi="Verdana"/>
          <w:b/>
        </w:rPr>
      </w:pPr>
      <w:proofErr w:type="spellStart"/>
      <w:r>
        <w:rPr>
          <w:rFonts w:ascii="Verdana" w:hAnsi="Verdana"/>
          <w:b/>
        </w:rPr>
        <w:t>REF</w:t>
      </w:r>
      <w:r>
        <w:rPr>
          <w:rFonts w:ascii="Verdana" w:hAnsi="Verdana"/>
          <w:b/>
          <w:vertAlign w:val="subscript"/>
        </w:rPr>
        <w:t>ij</w:t>
      </w:r>
      <w:proofErr w:type="spellEnd"/>
      <w:r>
        <w:rPr>
          <w:rFonts w:ascii="Verdana" w:hAnsi="Verdana"/>
          <w:b/>
        </w:rPr>
        <w:t>:</w:t>
      </w:r>
      <w:r>
        <w:rPr>
          <w:rFonts w:ascii="Verdana" w:hAnsi="Verdana"/>
        </w:rPr>
        <w:t xml:space="preserve"> induláskori refinanszírozott </w:t>
      </w:r>
      <w:proofErr w:type="gramStart"/>
      <w:r>
        <w:rPr>
          <w:rFonts w:ascii="Verdana" w:hAnsi="Verdana"/>
        </w:rPr>
        <w:t>tőkerész  a</w:t>
      </w:r>
      <w:proofErr w:type="gramEnd"/>
      <w:r>
        <w:rPr>
          <w:rFonts w:ascii="Verdana" w:hAnsi="Verdana"/>
        </w:rPr>
        <w:t xml:space="preserve"> </w:t>
      </w:r>
      <w:proofErr w:type="spellStart"/>
      <w:r>
        <w:rPr>
          <w:rFonts w:ascii="Verdana" w:hAnsi="Verdana"/>
        </w:rPr>
        <w:t>j-dik</w:t>
      </w:r>
      <w:proofErr w:type="spellEnd"/>
      <w:r>
        <w:rPr>
          <w:rFonts w:ascii="Verdana" w:hAnsi="Verdana"/>
        </w:rPr>
        <w:t xml:space="preserve"> negyedév végi adatközlésből</w:t>
      </w:r>
    </w:p>
    <w:p w:rsidR="00E539D0" w:rsidRDefault="00E539D0" w:rsidP="00E539D0">
      <w:pPr>
        <w:pStyle w:val="AODocTxt"/>
        <w:numPr>
          <w:ilvl w:val="0"/>
          <w:numId w:val="2"/>
        </w:numPr>
        <w:spacing w:before="0"/>
        <w:rPr>
          <w:rFonts w:ascii="Verdana" w:hAnsi="Verdana"/>
        </w:rPr>
      </w:pPr>
      <w:r>
        <w:rPr>
          <w:rFonts w:ascii="Verdana" w:hAnsi="Verdana"/>
        </w:rPr>
        <w:t xml:space="preserve">A veszteség-megosztási korlát az újonnan épített portfólió tárgynegyedévet megelőző negyedév fordulónapján fennálló refinanszírozás összegéből kerül meghatározásra a negyedévet követő 15 naptári napon belül, amelyről a </w:t>
      </w:r>
      <w:proofErr w:type="gramStart"/>
      <w:r>
        <w:rPr>
          <w:rFonts w:ascii="Verdana" w:hAnsi="Verdana"/>
        </w:rPr>
        <w:t>Társaság írásban</w:t>
      </w:r>
      <w:proofErr w:type="gramEnd"/>
      <w:r>
        <w:rPr>
          <w:rFonts w:ascii="Verdana" w:hAnsi="Verdana"/>
        </w:rPr>
        <w:t xml:space="preserve"> értesíti a Közvetőt. A veszteség-megosztási korlát a tárgynegyedévet követő 15. naptári napig érvényes.</w:t>
      </w:r>
    </w:p>
    <w:p w:rsidR="00E539D0" w:rsidRDefault="00E539D0" w:rsidP="00E539D0">
      <w:pPr>
        <w:pStyle w:val="AODocTxt"/>
        <w:numPr>
          <w:ilvl w:val="0"/>
          <w:numId w:val="2"/>
        </w:numPr>
        <w:spacing w:before="0"/>
        <w:rPr>
          <w:rFonts w:ascii="Verdana" w:hAnsi="Verdana"/>
        </w:rPr>
      </w:pPr>
      <w:r>
        <w:rPr>
          <w:rFonts w:ascii="Verdana" w:hAnsi="Verdana"/>
        </w:rPr>
        <w:t xml:space="preserve">Veszteség elszámolás kizárólag a veszteség-megosztási korláton belül lehetséges. Amennyiben a Közvetítő eléri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korlát felső határát, további felmerülő veszteség elszámolására az adott időszakon belül nincs lehetősége. Az elszámolt </w:t>
      </w:r>
      <w:proofErr w:type="gramStart"/>
      <w:r>
        <w:rPr>
          <w:rFonts w:ascii="Verdana" w:hAnsi="Verdana"/>
        </w:rPr>
        <w:t>veszteség kumulálásra</w:t>
      </w:r>
      <w:proofErr w:type="gramEnd"/>
      <w:r>
        <w:rPr>
          <w:rFonts w:ascii="Verdana" w:hAnsi="Verdana"/>
        </w:rPr>
        <w:t xml:space="preserve"> kerül a Program futamidejére vonatkozóan.</w:t>
      </w:r>
    </w:p>
    <w:p w:rsidR="00E539D0" w:rsidRDefault="00E539D0" w:rsidP="00E539D0">
      <w:pPr>
        <w:rPr>
          <w:rFonts w:ascii="Verdana" w:eastAsia="SimSun" w:hAnsi="Verdana"/>
          <w:sz w:val="22"/>
          <w:szCs w:val="22"/>
          <w:lang w:eastAsia="en-US"/>
        </w:rPr>
      </w:pPr>
      <w:r>
        <w:rPr>
          <w:rFonts w:ascii="Verdana" w:hAnsi="Verdana"/>
        </w:rPr>
        <w:br w:type="page"/>
      </w:r>
    </w:p>
    <w:p w:rsidR="00E539D0" w:rsidRDefault="00E539D0" w:rsidP="00E539D0">
      <w:pPr>
        <w:pStyle w:val="Cmsor3"/>
        <w:spacing w:before="0"/>
        <w:jc w:val="center"/>
        <w:rPr>
          <w:rFonts w:ascii="Verdana" w:hAnsi="Verdana"/>
          <w:i/>
          <w:iCs/>
          <w:u w:val="single"/>
        </w:rPr>
      </w:pPr>
    </w:p>
    <w:p w:rsidR="00E539D0" w:rsidRDefault="00E539D0" w:rsidP="00E539D0">
      <w:pPr>
        <w:pStyle w:val="Cmsor3"/>
        <w:spacing w:before="0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3. Veszteségmegosztás elszámolás</w:t>
      </w:r>
    </w:p>
    <w:p w:rsidR="00E539D0" w:rsidRDefault="00E539D0" w:rsidP="00E539D0">
      <w:pPr>
        <w:pStyle w:val="AODocTxt"/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>a.</w:t>
      </w:r>
      <w:proofErr w:type="gramEnd"/>
      <w:r>
        <w:rPr>
          <w:rFonts w:ascii="Verdana" w:hAnsi="Verdana"/>
        </w:rPr>
        <w:t xml:space="preserve"> A Közvetítő postai úton a Társaság részére elküldi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Kérelmet (3. sz. melléklet), és a kapcsolódó dokumentációt. </w:t>
      </w:r>
    </w:p>
    <w:p w:rsidR="00E539D0" w:rsidRDefault="00E539D0" w:rsidP="00E539D0">
      <w:pPr>
        <w:pStyle w:val="AODocTx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 xml:space="preserve">b. A Közvetítő kiválasztja a veszteségmegosztással érintett ügyletet, ezt követően rögzíti, majd beküldi a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igényt az érintett ügylet vonatkozásában. </w:t>
      </w:r>
    </w:p>
    <w:p w:rsidR="00E539D0" w:rsidRDefault="00E539D0" w:rsidP="00E539D0">
      <w:pPr>
        <w:pStyle w:val="AODocTxt"/>
        <w:numPr>
          <w:ilvl w:val="0"/>
          <w:numId w:val="2"/>
        </w:numPr>
        <w:rPr>
          <w:rFonts w:ascii="Verdana" w:hAnsi="Verdana"/>
        </w:rPr>
      </w:pPr>
      <w:proofErr w:type="gramStart"/>
      <w:r>
        <w:rPr>
          <w:rFonts w:ascii="Verdana" w:hAnsi="Verdana"/>
        </w:rPr>
        <w:t xml:space="preserve">c. A Társaság a rögzített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igényt a beküldött dokumentáció alapján megvizsgálja, </w:t>
      </w:r>
      <w:proofErr w:type="spellStart"/>
      <w:r>
        <w:rPr>
          <w:rFonts w:ascii="Verdana" w:hAnsi="Verdana"/>
        </w:rPr>
        <w:t>teljeskörű</w:t>
      </w:r>
      <w:proofErr w:type="spellEnd"/>
      <w:r>
        <w:rPr>
          <w:rFonts w:ascii="Verdana" w:hAnsi="Verdana"/>
        </w:rPr>
        <w:t xml:space="preserve"> dokumentáció esetén 15 naptári napon belül döntést hoz az igény elfogadásáról („Az ügy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folyamata elfogadással zárult”) vagy elutasításáról („Az ügy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folyamata elutasítással zárult”), melyet az IT rendszerben rögzít, illetve a IT rendszerből vett adatok alapján ellenőrzi, hogy a veszteség összege eléri-e a 2. pont szerinti módszerrel kiszámított </w:t>
      </w:r>
      <w:proofErr w:type="spellStart"/>
      <w:r>
        <w:rPr>
          <w:rFonts w:ascii="Verdana" w:hAnsi="Verdana"/>
        </w:rPr>
        <w:t>veszteségmegosztási</w:t>
      </w:r>
      <w:proofErr w:type="spellEnd"/>
      <w:r>
        <w:rPr>
          <w:rFonts w:ascii="Verdana" w:hAnsi="Verdana"/>
        </w:rPr>
        <w:t xml:space="preserve"> korlátot.</w:t>
      </w:r>
      <w:proofErr w:type="gramEnd"/>
      <w:r>
        <w:rPr>
          <w:rFonts w:ascii="Verdana" w:hAnsi="Verdana"/>
        </w:rPr>
        <w:t xml:space="preserve"> Egyéb esetben a Társaság hiánypótlást rendel el, amelynek 6 hónapon belül köteles a Közvetítő eleget tenni. A hiánypótlásról a Társaság a Közvetítőt az IT rendszeren keresztül értesíti. A Társaság jogosult az elszámolást megtagadni, amennyiben a Közvetítő hiánypótlási kötelezettségének e határidőn belül maradéktalanul eleget nem tesz. </w:t>
      </w:r>
    </w:p>
    <w:p w:rsidR="00E539D0" w:rsidRDefault="00E539D0" w:rsidP="00E539D0">
      <w:pPr>
        <w:pStyle w:val="AODocTxt"/>
        <w:numPr>
          <w:ilvl w:val="0"/>
          <w:numId w:val="2"/>
        </w:numPr>
        <w:rPr>
          <w:rFonts w:ascii="Verdana" w:hAnsi="Verdana"/>
        </w:rPr>
      </w:pPr>
      <w:r>
        <w:rPr>
          <w:rFonts w:ascii="Verdana" w:hAnsi="Verdana"/>
        </w:rPr>
        <w:t>d. Amennyiben a beküldött veszteségadattal együtt képzett összes veszteség nem haladja meg a korlátot, ebben az esetben a Társaság elszámol a Közvetítővel. A döntésről hivatalos értesítést küld a Közvetítő részére jelen Szerződés 4sz. melléklete alapján.</w:t>
      </w:r>
    </w:p>
    <w:p w:rsidR="00E539D0" w:rsidRDefault="00E539D0" w:rsidP="00E539D0">
      <w:pPr>
        <w:rPr>
          <w:lang w:eastAsia="en-US"/>
        </w:rPr>
      </w:pPr>
    </w:p>
    <w:p w:rsidR="00E539D0" w:rsidRDefault="00E539D0" w:rsidP="00E539D0">
      <w:pPr>
        <w:pStyle w:val="AODocTxt"/>
        <w:numPr>
          <w:ilvl w:val="0"/>
          <w:numId w:val="2"/>
        </w:numPr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III. Társaság által biztosított refinanszírozás általános szabályai</w:t>
      </w:r>
    </w:p>
    <w:p w:rsidR="00E539D0" w:rsidRDefault="00E539D0" w:rsidP="00E539D0">
      <w:pPr>
        <w:rPr>
          <w:lang w:eastAsia="en-US"/>
        </w:rPr>
      </w:pPr>
    </w:p>
    <w:p w:rsidR="00E539D0" w:rsidRDefault="00E539D0" w:rsidP="00E539D0">
      <w:pPr>
        <w:pStyle w:val="Cmsor3"/>
        <w:numPr>
          <w:ilvl w:val="0"/>
          <w:numId w:val="13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Törlesztés és kamatelszámolás</w:t>
      </w:r>
      <w:bookmarkEnd w:id="36"/>
      <w:bookmarkEnd w:id="37"/>
      <w:bookmarkEnd w:id="38"/>
      <w:bookmarkEnd w:id="39"/>
      <w:bookmarkEnd w:id="40"/>
      <w:bookmarkEnd w:id="41"/>
    </w:p>
    <w:p w:rsidR="00E539D0" w:rsidRDefault="00E539D0" w:rsidP="00E539D0">
      <w:pPr>
        <w:numPr>
          <w:ilvl w:val="0"/>
          <w:numId w:val="6"/>
        </w:numPr>
        <w:tabs>
          <w:tab w:val="clear" w:pos="720"/>
          <w:tab w:val="num" w:pos="-198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által az Elszámolási Tőkeszámlán lévő összegek után esetlegesen kapott kamatnak a Társaság refinanszírozásának mértékével arányos, a már felszámított refinanszírozási kamatokkal csökkentett része a Társaságot illeti meg, amelyet a Közvetítő köteles a megfelelő programszámlára átutalni a Társaság által küldött értesítő alapján a tárgy negyedévet követő hónap 30. napjáig.</w:t>
      </w:r>
    </w:p>
    <w:p w:rsidR="00E539D0" w:rsidRDefault="00E539D0" w:rsidP="00E539D0">
      <w:pPr>
        <w:numPr>
          <w:ilvl w:val="0"/>
          <w:numId w:val="6"/>
        </w:numPr>
        <w:tabs>
          <w:tab w:val="clear" w:pos="720"/>
          <w:tab w:val="num" w:pos="-198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Előfinanszírozás visszafizetése egy összegben esedékes legkésőbb a Közvetítői szerződésben foglalt időpontig (előtörlesztés lehetséges).</w:t>
      </w:r>
    </w:p>
    <w:p w:rsidR="00E539D0" w:rsidRDefault="00E539D0" w:rsidP="00E539D0">
      <w:pPr>
        <w:numPr>
          <w:ilvl w:val="0"/>
          <w:numId w:val="6"/>
        </w:numPr>
        <w:tabs>
          <w:tab w:val="clear" w:pos="720"/>
          <w:tab w:val="num" w:pos="-198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 a Közvetítővel szembeni követelésének behajtása érdekében külső felet is bevonhat.   </w:t>
      </w:r>
    </w:p>
    <w:p w:rsidR="00E539D0" w:rsidRDefault="00E539D0" w:rsidP="00E539D0">
      <w:pPr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br w:type="page"/>
      </w:r>
    </w:p>
    <w:p w:rsidR="00E539D0" w:rsidRDefault="00E539D0" w:rsidP="00E539D0">
      <w:pPr>
        <w:pStyle w:val="Cmsor3"/>
        <w:numPr>
          <w:ilvl w:val="0"/>
          <w:numId w:val="13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bookmarkStart w:id="42" w:name="_Toc173064768"/>
      <w:bookmarkStart w:id="43" w:name="_Toc176937963"/>
      <w:bookmarkStart w:id="44" w:name="_Toc179790343"/>
      <w:bookmarkStart w:id="45" w:name="_Toc179790995"/>
      <w:bookmarkStart w:id="46" w:name="_Toc179791103"/>
      <w:bookmarkStart w:id="47" w:name="_Toc179791193"/>
      <w:bookmarkStart w:id="48" w:name="_Toc179953093"/>
      <w:bookmarkStart w:id="49" w:name="_Toc179953154"/>
      <w:bookmarkStart w:id="50" w:name="_Toc179954740"/>
      <w:r>
        <w:rPr>
          <w:rFonts w:ascii="Verdana" w:hAnsi="Verdana"/>
          <w:i/>
          <w:iCs/>
          <w:u w:val="single"/>
        </w:rPr>
        <w:lastRenderedPageBreak/>
        <w:t>Ellenőrzés</w:t>
      </w:r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</w:p>
    <w:p w:rsidR="00E539D0" w:rsidRDefault="00E539D0" w:rsidP="00E539D0">
      <w:pPr>
        <w:numPr>
          <w:ilvl w:val="0"/>
          <w:numId w:val="4"/>
        </w:numPr>
        <w:tabs>
          <w:tab w:val="clear" w:pos="720"/>
          <w:tab w:val="num" w:pos="36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Társaságnak joga van a Közvetítő minősítési rendszerének felülvizsgálatára, helyszíni ellenőrzésére, amelyről előzetesen illetve ennek eredményéről írásban tájékoztatja a Társaság a Közvetítőt. </w:t>
      </w:r>
    </w:p>
    <w:p w:rsidR="00E539D0" w:rsidRDefault="00E539D0" w:rsidP="00E539D0">
      <w:pPr>
        <w:numPr>
          <w:ilvl w:val="0"/>
          <w:numId w:val="4"/>
        </w:numPr>
        <w:tabs>
          <w:tab w:val="clear" w:pos="720"/>
          <w:tab w:val="num" w:pos="36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Társaságnak joga van a Kedvezményezettnél ellenőrzéseket végrehajtani, amelyről előzetesen, illetve az ellenőrzés eredményéről a Közvetítőt tájékoztatja.</w:t>
      </w:r>
    </w:p>
    <w:p w:rsidR="00E539D0" w:rsidRDefault="00E539D0" w:rsidP="00E539D0">
      <w:pPr>
        <w:numPr>
          <w:ilvl w:val="0"/>
          <w:numId w:val="4"/>
        </w:numPr>
        <w:tabs>
          <w:tab w:val="clear" w:pos="720"/>
          <w:tab w:val="num" w:pos="36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az IT rendszer hibát észlel a Közvetítő által jelzett ügyleti adatokban arról hibaüzenetet küld a Közvetítőnek. Minden hibaüzenet egyidejűleg megjelenik a Társaság illetékes munkatársai számára is. A Társaság – amennyiben szükséges - egyezteti az adatokat a Közvetítővel. A Közvetítő ellenőrzi és pontosítja az ügylet érintett adatait, melyről értesíti a Társaságot az IT rendszeren keresztül.  </w:t>
      </w:r>
    </w:p>
    <w:p w:rsidR="00E539D0" w:rsidRDefault="00E539D0" w:rsidP="00E539D0">
      <w:pPr>
        <w:numPr>
          <w:ilvl w:val="0"/>
          <w:numId w:val="4"/>
        </w:numPr>
        <w:tabs>
          <w:tab w:val="clear" w:pos="720"/>
          <w:tab w:val="num" w:pos="360"/>
        </w:tabs>
        <w:spacing w:before="240" w:line="260" w:lineRule="atLeast"/>
        <w:ind w:left="36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Az egyeztetések elfogadásra a Társaság vezetése jogosult, abban az esetben, ha az eltér a Társaság által nyilvántartott adatoktól. Az IT rendszerben az egyeztetés alapján rögzítésre kerülnek a tényleges ügyleti adatok, és szükség szerint egyidejűleg pontosításra kerül a számviteli nyilvántartás is.</w:t>
      </w:r>
    </w:p>
    <w:p w:rsidR="00E539D0" w:rsidRDefault="00E539D0" w:rsidP="00E539D0">
      <w:pPr>
        <w:pStyle w:val="Cmsor3"/>
        <w:numPr>
          <w:ilvl w:val="0"/>
          <w:numId w:val="13"/>
        </w:numPr>
        <w:ind w:left="0" w:firstLine="0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Adatszolgáltatási folyamat részletei</w:t>
      </w:r>
    </w:p>
    <w:p w:rsidR="00E539D0" w:rsidRDefault="00E539D0" w:rsidP="00E539D0">
      <w:pPr>
        <w:numPr>
          <w:ilvl w:val="0"/>
          <w:numId w:val="8"/>
        </w:numPr>
        <w:tabs>
          <w:tab w:val="clear" w:pos="72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a hiteligénylésről és szerződéskötésekről, elektronikus adat formájában, az IT rendszeren keresztül, az ügyfél („Kedvezményezett”) adatainak, valamint a tervezett hitel adatainak megadásával értesíti a Társaságot. Az ügylet az IT rendszerben az eseti adatszolgáltatást követően rögzítésre kerül. Az elektronikus </w:t>
      </w:r>
      <w:proofErr w:type="gramStart"/>
      <w:r>
        <w:rPr>
          <w:rFonts w:ascii="Verdana" w:hAnsi="Verdana"/>
          <w:sz w:val="22"/>
          <w:szCs w:val="22"/>
        </w:rPr>
        <w:t>értesítéseket ,</w:t>
      </w:r>
      <w:proofErr w:type="gramEnd"/>
      <w:r>
        <w:rPr>
          <w:rFonts w:ascii="Verdana" w:hAnsi="Verdana"/>
          <w:sz w:val="22"/>
          <w:szCs w:val="22"/>
        </w:rPr>
        <w:t xml:space="preserve"> a Társaság által előírt adatszerkezetben és formátumban szükséges előállítani, hogy azt a Társaság IT rendszere automatikusan fogadni tudja. </w:t>
      </w:r>
    </w:p>
    <w:p w:rsidR="00E539D0" w:rsidRDefault="00E539D0" w:rsidP="00E539D0">
      <w:pPr>
        <w:numPr>
          <w:ilvl w:val="0"/>
          <w:numId w:val="8"/>
        </w:numPr>
        <w:tabs>
          <w:tab w:val="clear" w:pos="72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az IT rendszeren keresztül küldött értesítéssel legkésőbb a tárgynapot követő ötödik naptári nap 11:00 óráig köteles tájékoztatni a Társaságot a Program keretében a tárgynapon igényelt, leszerződött új szerződésekről, a korábban kihelyezett hitelekre vonatkozó tárgynapi felmondási, behajtási illetve biztosítékmódosítási igényekről/eseményekről, továbbá a korábbi hitelekkel kapcsolatos esetleges tárgynapi Jogosulatlan forrásfelhasználásokról). Az új szerződésre vonatkozó adatközlést – beleértve az előzőleg hibás tartalommal beküldött adatközlés módosítását is – a tárgynapot követő 10. naptári napot követően a Társaság csak külön jóváhagyást követően fogadja el.</w:t>
      </w:r>
    </w:p>
    <w:p w:rsidR="00E539D0" w:rsidRPr="007B268D" w:rsidRDefault="00E539D0" w:rsidP="00E539D0">
      <w:pPr>
        <w:numPr>
          <w:ilvl w:val="0"/>
          <w:numId w:val="8"/>
        </w:numPr>
        <w:tabs>
          <w:tab w:val="clear" w:pos="720"/>
          <w:tab w:val="num" w:pos="36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t>.</w:t>
      </w:r>
      <w:r w:rsidRPr="007B268D">
        <w:rPr>
          <w:rFonts w:ascii="Verdana" w:hAnsi="Verdana"/>
          <w:sz w:val="22"/>
          <w:szCs w:val="22"/>
        </w:rPr>
        <w:t>A közvetítő Ügylet Törlesztés Tény Jelentés (UTTJ) formájában (IT rendszeren keresztül elküldött adatcsomag) köteles az ügylet életciklusa során folyamatosan megadni az adott ügylet kapcsán a végső kedvezményezett által indított összes tőketörlesztést.</w:t>
      </w:r>
      <w:r>
        <w:rPr>
          <w:rFonts w:ascii="Verdana" w:hAnsi="Verdana"/>
          <w:sz w:val="22"/>
          <w:szCs w:val="22"/>
        </w:rPr>
        <w:t xml:space="preserve"> </w:t>
      </w:r>
      <w:r w:rsidRPr="0003049F">
        <w:rPr>
          <w:rFonts w:ascii="Verdana" w:hAnsi="Verdana"/>
          <w:sz w:val="22"/>
          <w:szCs w:val="22"/>
        </w:rPr>
        <w:t>A</w:t>
      </w:r>
      <w:r w:rsidRPr="007B268D">
        <w:rPr>
          <w:rFonts w:ascii="Verdana" w:hAnsi="Verdana"/>
          <w:sz w:val="22"/>
          <w:szCs w:val="22"/>
        </w:rPr>
        <w:t>z</w:t>
      </w:r>
      <w:r w:rsidRPr="0003049F">
        <w:rPr>
          <w:rFonts w:ascii="Verdana" w:hAnsi="Verdana"/>
          <w:sz w:val="22"/>
          <w:szCs w:val="22"/>
        </w:rPr>
        <w:t xml:space="preserve"> </w:t>
      </w:r>
      <w:r w:rsidRPr="007B268D">
        <w:rPr>
          <w:rFonts w:ascii="Verdana" w:hAnsi="Verdana"/>
          <w:sz w:val="22"/>
          <w:szCs w:val="22"/>
        </w:rPr>
        <w:t xml:space="preserve">IT </w:t>
      </w:r>
      <w:r w:rsidRPr="0003049F">
        <w:rPr>
          <w:rFonts w:ascii="Verdana" w:hAnsi="Verdana"/>
          <w:sz w:val="22"/>
          <w:szCs w:val="22"/>
        </w:rPr>
        <w:t xml:space="preserve">rendszer </w:t>
      </w:r>
      <w:r w:rsidRPr="007B268D">
        <w:rPr>
          <w:rFonts w:ascii="Verdana" w:hAnsi="Verdana"/>
          <w:sz w:val="22"/>
          <w:szCs w:val="22"/>
        </w:rPr>
        <w:t xml:space="preserve">az UTTJ adatszolgáltatás bevezetésekor már létező ügyletekre </w:t>
      </w:r>
      <w:r w:rsidRPr="0003049F">
        <w:rPr>
          <w:rFonts w:ascii="Verdana" w:hAnsi="Verdana"/>
          <w:sz w:val="22"/>
          <w:szCs w:val="22"/>
        </w:rPr>
        <w:t xml:space="preserve">létrehozza </w:t>
      </w:r>
      <w:r w:rsidRPr="007B268D">
        <w:rPr>
          <w:rFonts w:ascii="Verdana" w:hAnsi="Verdana"/>
          <w:sz w:val="22"/>
          <w:szCs w:val="22"/>
        </w:rPr>
        <w:t>az</w:t>
      </w:r>
      <w:r w:rsidRPr="0003049F">
        <w:rPr>
          <w:rFonts w:ascii="Verdana" w:hAnsi="Verdana"/>
          <w:sz w:val="22"/>
          <w:szCs w:val="22"/>
        </w:rPr>
        <w:t xml:space="preserve"> összes létrehozható UTTJ tőke</w:t>
      </w:r>
      <w:r w:rsidRPr="007B268D">
        <w:rPr>
          <w:rFonts w:ascii="Verdana" w:hAnsi="Verdana"/>
          <w:sz w:val="22"/>
          <w:szCs w:val="22"/>
        </w:rPr>
        <w:t>törlesztés jelentés</w:t>
      </w:r>
      <w:r w:rsidRPr="0003049F">
        <w:rPr>
          <w:rFonts w:ascii="Verdana" w:hAnsi="Verdana"/>
          <w:sz w:val="22"/>
          <w:szCs w:val="22"/>
        </w:rPr>
        <w:t xml:space="preserve">t, </w:t>
      </w:r>
      <w:r w:rsidRPr="007B268D">
        <w:rPr>
          <w:rFonts w:ascii="Verdana" w:hAnsi="Verdana"/>
          <w:sz w:val="22"/>
          <w:szCs w:val="22"/>
        </w:rPr>
        <w:t xml:space="preserve">melyekre </w:t>
      </w:r>
      <w:r w:rsidRPr="0003049F">
        <w:rPr>
          <w:rFonts w:ascii="Verdana" w:hAnsi="Verdana"/>
          <w:sz w:val="22"/>
          <w:szCs w:val="22"/>
        </w:rPr>
        <w:t xml:space="preserve">nézve </w:t>
      </w:r>
      <w:r w:rsidRPr="007B268D">
        <w:rPr>
          <w:rFonts w:ascii="Verdana" w:hAnsi="Verdana"/>
          <w:sz w:val="22"/>
          <w:szCs w:val="22"/>
        </w:rPr>
        <w:t xml:space="preserve">a közvetítőnek </w:t>
      </w:r>
      <w:r w:rsidRPr="0003049F">
        <w:rPr>
          <w:rFonts w:ascii="Verdana" w:hAnsi="Verdana"/>
          <w:sz w:val="22"/>
          <w:szCs w:val="22"/>
        </w:rPr>
        <w:t>jóváhagyási és módosítás</w:t>
      </w:r>
      <w:r w:rsidRPr="007B268D">
        <w:rPr>
          <w:rFonts w:ascii="Verdana" w:hAnsi="Verdana"/>
          <w:sz w:val="22"/>
          <w:szCs w:val="22"/>
        </w:rPr>
        <w:t>i lehetősége</w:t>
      </w:r>
      <w:r w:rsidRPr="0003049F">
        <w:rPr>
          <w:rFonts w:ascii="Verdana" w:hAnsi="Verdana"/>
          <w:sz w:val="22"/>
          <w:szCs w:val="22"/>
        </w:rPr>
        <w:t xml:space="preserve"> </w:t>
      </w:r>
      <w:r w:rsidRPr="007B268D">
        <w:rPr>
          <w:rFonts w:ascii="Verdana" w:hAnsi="Verdana"/>
          <w:sz w:val="22"/>
          <w:szCs w:val="22"/>
        </w:rPr>
        <w:t xml:space="preserve">van. </w:t>
      </w:r>
    </w:p>
    <w:p w:rsidR="00E539D0" w:rsidRPr="0003049F" w:rsidRDefault="00E539D0" w:rsidP="00E539D0">
      <w:pPr>
        <w:numPr>
          <w:ilvl w:val="0"/>
          <w:numId w:val="8"/>
        </w:numPr>
        <w:tabs>
          <w:tab w:val="clear" w:pos="72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03049F">
        <w:rPr>
          <w:rFonts w:ascii="Verdana" w:hAnsi="Verdana"/>
          <w:sz w:val="22"/>
          <w:szCs w:val="22"/>
        </w:rPr>
        <w:t xml:space="preserve">Az ügyletszintű nyilvántartás bevezetésével létrejön a rendszerben </w:t>
      </w:r>
      <w:r w:rsidRPr="007B268D">
        <w:rPr>
          <w:rFonts w:ascii="Verdana" w:hAnsi="Verdana"/>
          <w:sz w:val="22"/>
          <w:szCs w:val="22"/>
        </w:rPr>
        <w:t>a finanszírozási</w:t>
      </w:r>
      <w:r w:rsidRPr="0003049F">
        <w:rPr>
          <w:rFonts w:ascii="Verdana" w:hAnsi="Verdana"/>
          <w:sz w:val="22"/>
          <w:szCs w:val="22"/>
        </w:rPr>
        <w:t xml:space="preserve"> terv, melyben megjelennek a tervezett folyósítások, valamint a </w:t>
      </w:r>
      <w:r w:rsidRPr="0003049F">
        <w:rPr>
          <w:rFonts w:ascii="Verdana" w:hAnsi="Verdana"/>
          <w:sz w:val="22"/>
          <w:szCs w:val="22"/>
        </w:rPr>
        <w:lastRenderedPageBreak/>
        <w:t>tervezett befizetések.</w:t>
      </w:r>
      <w:r w:rsidRPr="007B268D">
        <w:rPr>
          <w:rFonts w:ascii="Verdana" w:hAnsi="Verdana"/>
          <w:sz w:val="22"/>
          <w:szCs w:val="22"/>
        </w:rPr>
        <w:t xml:space="preserve"> </w:t>
      </w:r>
      <w:r w:rsidRPr="0003049F">
        <w:rPr>
          <w:rFonts w:ascii="Verdana" w:hAnsi="Verdana"/>
          <w:sz w:val="22"/>
          <w:szCs w:val="22"/>
        </w:rPr>
        <w:t>A finanszírozási tervet szerződéskötéskor és ezt követően minden változás esetén</w:t>
      </w:r>
      <w:r w:rsidRPr="007B268D">
        <w:rPr>
          <w:rFonts w:ascii="Verdana" w:hAnsi="Verdana"/>
          <w:sz w:val="22"/>
          <w:szCs w:val="22"/>
        </w:rPr>
        <w:t xml:space="preserve"> (</w:t>
      </w:r>
      <w:r w:rsidRPr="0003049F">
        <w:rPr>
          <w:rFonts w:ascii="Verdana" w:hAnsi="Verdana"/>
          <w:sz w:val="22"/>
          <w:szCs w:val="22"/>
        </w:rPr>
        <w:t>folyósításkor, szerződésmódosításkor és a törlesztési vagy folyósítási ütemterv egyéb okból történő megváltozása esetén</w:t>
      </w:r>
      <w:r w:rsidRPr="007B268D">
        <w:rPr>
          <w:rFonts w:ascii="Verdana" w:hAnsi="Verdana"/>
          <w:sz w:val="22"/>
          <w:szCs w:val="22"/>
        </w:rPr>
        <w:t>) aktualizálni kell a megfelelő eseti adatszolgáltatási esemény beküldésével</w:t>
      </w:r>
      <w:r w:rsidRPr="0003049F">
        <w:rPr>
          <w:rFonts w:ascii="Verdana" w:hAnsi="Verdana"/>
          <w:sz w:val="22"/>
          <w:szCs w:val="22"/>
        </w:rPr>
        <w:t>.</w:t>
      </w:r>
    </w:p>
    <w:p w:rsidR="00E539D0" w:rsidRPr="0003049F" w:rsidRDefault="00E539D0" w:rsidP="00E539D0">
      <w:pPr>
        <w:numPr>
          <w:ilvl w:val="0"/>
          <w:numId w:val="8"/>
        </w:numPr>
        <w:tabs>
          <w:tab w:val="clear" w:pos="72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4054CB">
        <w:rPr>
          <w:rFonts w:ascii="Verdana" w:hAnsi="Verdana"/>
          <w:sz w:val="22"/>
          <w:szCs w:val="22"/>
        </w:rPr>
        <w:t>Az ügyletszintű nyilvántartás során bevezetésre került a többszörös folyósítás kezelésének lehetősége több egymást követő folyósítás esemény beküldésével.</w:t>
      </w:r>
    </w:p>
    <w:p w:rsidR="00E539D0" w:rsidRDefault="00E539D0" w:rsidP="00E539D0">
      <w:pPr>
        <w:numPr>
          <w:ilvl w:val="0"/>
          <w:numId w:val="8"/>
        </w:numPr>
        <w:tabs>
          <w:tab w:val="clear" w:pos="720"/>
          <w:tab w:val="num" w:pos="36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 w:rsidRPr="007B268D">
        <w:rPr>
          <w:rFonts w:ascii="Verdana" w:hAnsi="Verdana"/>
          <w:sz w:val="22"/>
          <w:szCs w:val="22"/>
        </w:rPr>
        <w:t>Az IT rendszer az ügyletek</w:t>
      </w:r>
      <w:r>
        <w:rPr>
          <w:rFonts w:ascii="Verdana" w:hAnsi="Verdana"/>
          <w:sz w:val="22"/>
          <w:szCs w:val="22"/>
        </w:rPr>
        <w:t xml:space="preserve"> késedelmére vonatkozó adatokat az UTTJ jelentések és a finanszírozási tervek egybevetésével kalkulálja.</w:t>
      </w:r>
    </w:p>
    <w:p w:rsidR="00E539D0" w:rsidRDefault="00E539D0" w:rsidP="00E539D0">
      <w:pPr>
        <w:numPr>
          <w:ilvl w:val="0"/>
          <w:numId w:val="8"/>
        </w:numPr>
        <w:tabs>
          <w:tab w:val="clear" w:pos="720"/>
          <w:tab w:val="num" w:pos="36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 közvetítő köteles adatcsomag formájában megküldeni az Elszámolási Tőkeszámlán végrehajtott tranzakciók jogcímenkénti összesítését.</w:t>
      </w:r>
    </w:p>
    <w:p w:rsidR="00E539D0" w:rsidRDefault="00E539D0" w:rsidP="00E539D0">
      <w:pPr>
        <w:numPr>
          <w:ilvl w:val="0"/>
          <w:numId w:val="8"/>
        </w:numPr>
        <w:tabs>
          <w:tab w:val="clear" w:pos="720"/>
          <w:tab w:val="num" w:pos="360"/>
          <w:tab w:val="num" w:pos="426"/>
        </w:tabs>
        <w:spacing w:before="240" w:line="260" w:lineRule="atLeast"/>
        <w:ind w:left="426" w:hanging="426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olyan szerződéses rendelkezéseket köteles alkalmazni a Hitelszerződésekben, amelyek lehetővé teszik, hogy a Kedvezményezettekre vonatkozó, az ÚSZH (GOP) Hitelprogram keretében a Közvetítő rendelkezésére álló adatot és információt a Közvetítő korlátozás nélkül átadhasson a Társaság és az Irányító Hatóság részére. 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eastAsia="SimSun" w:hAnsi="Verdana"/>
          <w:b/>
          <w:bCs/>
          <w:sz w:val="22"/>
          <w:szCs w:val="22"/>
        </w:rPr>
      </w:pPr>
      <w:r>
        <w:rPr>
          <w:rFonts w:ascii="Verdana" w:eastAsia="SimSun" w:hAnsi="Verdana"/>
          <w:sz w:val="22"/>
          <w:szCs w:val="22"/>
        </w:rPr>
        <w:t>A Közvetítők adatszolgáltatási kötelezettségei a Közvetítői Szerződés 5. mellékletében részletezettek szerint a következők</w:t>
      </w:r>
      <w:r>
        <w:rPr>
          <w:rFonts w:ascii="Verdana" w:eastAsia="SimSun" w:hAnsi="Verdana"/>
          <w:b/>
          <w:bCs/>
          <w:sz w:val="22"/>
          <w:szCs w:val="22"/>
        </w:rPr>
        <w:t>: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 w:rsidRPr="004C6EED">
        <w:rPr>
          <w:rFonts w:ascii="Verdana" w:hAnsi="Verdana"/>
          <w:sz w:val="22"/>
          <w:szCs w:val="22"/>
        </w:rPr>
        <w:t>Ügylet Törlesztés Tény Jelentés (UTTJ)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eastAsia="SimSun" w:hAnsi="Verdana"/>
          <w:b/>
          <w:bCs/>
          <w:sz w:val="22"/>
          <w:szCs w:val="22"/>
        </w:rPr>
      </w:pPr>
      <w:r>
        <w:rPr>
          <w:rFonts w:ascii="Verdana" w:hAnsi="Verdana"/>
          <w:sz w:val="22"/>
          <w:szCs w:val="22"/>
        </w:rPr>
        <w:t>UTTJ jóváhagyás</w:t>
      </w:r>
    </w:p>
    <w:p w:rsidR="00E539D0" w:rsidRDefault="00E539D0" w:rsidP="00E539D0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</w:p>
    <w:p w:rsidR="00E539D0" w:rsidRDefault="00E539D0" w:rsidP="00E539D0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  <w:r>
        <w:rPr>
          <w:rFonts w:ascii="Verdana" w:eastAsia="SimSun" w:hAnsi="Verdana"/>
          <w:sz w:val="22"/>
          <w:szCs w:val="22"/>
          <w:u w:val="single"/>
        </w:rPr>
        <w:t>Eseti adatszolgáltatás:</w:t>
      </w:r>
    </w:p>
    <w:p w:rsidR="00E539D0" w:rsidRDefault="00E539D0" w:rsidP="00E539D0">
      <w:pPr>
        <w:pStyle w:val="AODocTxt"/>
        <w:numPr>
          <w:ilvl w:val="0"/>
          <w:numId w:val="0"/>
        </w:numPr>
        <w:spacing w:before="0"/>
        <w:ind w:left="709"/>
        <w:rPr>
          <w:rFonts w:ascii="Verdana" w:hAnsi="Verdana"/>
        </w:rPr>
      </w:pPr>
      <w:r>
        <w:rPr>
          <w:rFonts w:ascii="Verdana" w:hAnsi="Verdana"/>
        </w:rPr>
        <w:t>Új ügyfelek és hozzájuk kapcsolódó ügyletek adatai</w:t>
      </w:r>
    </w:p>
    <w:p w:rsidR="00E539D0" w:rsidRDefault="00E539D0" w:rsidP="00E539D0">
      <w:pPr>
        <w:pStyle w:val="AODocTxt"/>
        <w:numPr>
          <w:ilvl w:val="0"/>
          <w:numId w:val="0"/>
        </w:numPr>
        <w:spacing w:before="0"/>
        <w:ind w:left="709"/>
        <w:rPr>
          <w:rFonts w:ascii="Verdana" w:hAnsi="Verdana"/>
        </w:rPr>
      </w:pPr>
      <w:r>
        <w:rPr>
          <w:rFonts w:ascii="Verdana" w:hAnsi="Verdana"/>
        </w:rPr>
        <w:t xml:space="preserve">Igénylés, szerződés, szerződésmódosítás, </w:t>
      </w:r>
      <w:proofErr w:type="spellStart"/>
      <w:r>
        <w:rPr>
          <w:rFonts w:ascii="Verdana" w:hAnsi="Verdana"/>
        </w:rPr>
        <w:t>törzsadatmódosítás</w:t>
      </w:r>
      <w:proofErr w:type="spellEnd"/>
      <w:r>
        <w:rPr>
          <w:rFonts w:ascii="Verdana" w:hAnsi="Verdana"/>
        </w:rPr>
        <w:t xml:space="preserve">, folyósítás, finanszírozási </w:t>
      </w:r>
      <w:proofErr w:type="gramStart"/>
      <w:r>
        <w:rPr>
          <w:rFonts w:ascii="Verdana" w:hAnsi="Verdana"/>
        </w:rPr>
        <w:t>terv módosítás</w:t>
      </w:r>
      <w:proofErr w:type="gramEnd"/>
    </w:p>
    <w:p w:rsidR="00E539D0" w:rsidRDefault="00E539D0" w:rsidP="00E539D0">
      <w:pPr>
        <w:pStyle w:val="AODocTxt"/>
        <w:numPr>
          <w:ilvl w:val="0"/>
          <w:numId w:val="0"/>
        </w:numPr>
        <w:spacing w:before="0"/>
        <w:ind w:firstLine="720"/>
        <w:rPr>
          <w:rFonts w:ascii="Verdana" w:hAnsi="Verdana"/>
        </w:rPr>
      </w:pPr>
      <w:r>
        <w:rPr>
          <w:rFonts w:ascii="Verdana" w:hAnsi="Verdana"/>
        </w:rPr>
        <w:t xml:space="preserve">Biztosítékok megváltozása </w:t>
      </w:r>
    </w:p>
    <w:p w:rsidR="00E539D0" w:rsidRDefault="00E539D0" w:rsidP="00E539D0">
      <w:pPr>
        <w:pStyle w:val="AODocTxt"/>
        <w:numPr>
          <w:ilvl w:val="0"/>
          <w:numId w:val="0"/>
        </w:numPr>
        <w:spacing w:before="0"/>
        <w:ind w:firstLine="720"/>
        <w:rPr>
          <w:rFonts w:ascii="Verdana" w:hAnsi="Verdana"/>
        </w:rPr>
      </w:pPr>
      <w:r>
        <w:rPr>
          <w:rFonts w:ascii="Verdana" w:hAnsi="Verdana"/>
        </w:rPr>
        <w:t>Felmondás, meghiúsulás</w:t>
      </w:r>
    </w:p>
    <w:p w:rsidR="00E539D0" w:rsidRDefault="00E539D0" w:rsidP="00E539D0">
      <w:pPr>
        <w:pStyle w:val="AODocTxt"/>
        <w:numPr>
          <w:ilvl w:val="0"/>
          <w:numId w:val="0"/>
        </w:numPr>
        <w:spacing w:before="0"/>
        <w:ind w:firstLine="720"/>
        <w:rPr>
          <w:rFonts w:ascii="Verdana" w:hAnsi="Verdana"/>
        </w:rPr>
      </w:pPr>
      <w:r>
        <w:rPr>
          <w:rFonts w:ascii="Verdana" w:hAnsi="Verdana"/>
        </w:rPr>
        <w:t>Behajtás</w:t>
      </w:r>
    </w:p>
    <w:p w:rsidR="00E539D0" w:rsidRPr="00A85D3E" w:rsidRDefault="00E539D0" w:rsidP="00E539D0">
      <w:pPr>
        <w:pStyle w:val="AODocTxt"/>
        <w:numPr>
          <w:ilvl w:val="0"/>
          <w:numId w:val="0"/>
        </w:numPr>
        <w:spacing w:before="0"/>
        <w:ind w:left="709"/>
        <w:rPr>
          <w:rFonts w:ascii="Verdana" w:hAnsi="Verdana"/>
        </w:rPr>
      </w:pPr>
      <w:r>
        <w:rPr>
          <w:rFonts w:ascii="Verdana" w:hAnsi="Verdana"/>
        </w:rPr>
        <w:t xml:space="preserve">Lezárás (kamatok és díjak egyszeri beküldése az ügylet lezárásakor vagy azt </w:t>
      </w:r>
      <w:r w:rsidRPr="00A85D3E">
        <w:rPr>
          <w:rFonts w:ascii="Verdana" w:hAnsi="Verdana"/>
        </w:rPr>
        <w:t>követően)</w:t>
      </w:r>
    </w:p>
    <w:p w:rsidR="00E539D0" w:rsidRPr="00A85D3E" w:rsidRDefault="00E539D0" w:rsidP="00E539D0">
      <w:pPr>
        <w:pStyle w:val="Szvegtrzs"/>
        <w:spacing w:after="0" w:line="260" w:lineRule="atLeast"/>
        <w:ind w:firstLine="720"/>
        <w:jc w:val="both"/>
        <w:rPr>
          <w:rFonts w:ascii="Verdana" w:hAnsi="Verdana"/>
          <w:sz w:val="22"/>
          <w:szCs w:val="22"/>
        </w:rPr>
      </w:pPr>
      <w:r w:rsidRPr="00A85D3E">
        <w:rPr>
          <w:rFonts w:ascii="Verdana" w:hAnsi="Verdana"/>
          <w:sz w:val="22"/>
          <w:szCs w:val="22"/>
        </w:rPr>
        <w:t>Jogosulatlan forrásfelhasználások</w:t>
      </w:r>
    </w:p>
    <w:p w:rsidR="00E539D0" w:rsidRDefault="00E539D0" w:rsidP="00E539D0">
      <w:pPr>
        <w:pStyle w:val="Szvegtrzs"/>
        <w:spacing w:after="0" w:line="260" w:lineRule="atLeast"/>
        <w:jc w:val="both"/>
        <w:rPr>
          <w:rFonts w:ascii="Verdana" w:hAnsi="Verdana"/>
        </w:rPr>
      </w:pPr>
    </w:p>
    <w:p w:rsidR="00E539D0" w:rsidRDefault="00E539D0" w:rsidP="00E539D0">
      <w:pPr>
        <w:pStyle w:val="Szvegtrzs"/>
        <w:spacing w:after="0" w:line="260" w:lineRule="atLeast"/>
        <w:jc w:val="both"/>
        <w:rPr>
          <w:rFonts w:ascii="Verdana" w:eastAsia="SimSun" w:hAnsi="Verdana"/>
          <w:sz w:val="22"/>
          <w:szCs w:val="22"/>
          <w:u w:val="single"/>
        </w:rPr>
      </w:pPr>
      <w:r>
        <w:rPr>
          <w:rFonts w:ascii="Verdana" w:eastAsia="SimSun" w:hAnsi="Verdana"/>
          <w:sz w:val="22"/>
          <w:szCs w:val="22"/>
          <w:u w:val="single"/>
        </w:rPr>
        <w:t>Havi adatszolgáltatással kapcsolatos kimutatás tartalmazza a következőket:</w:t>
      </w:r>
    </w:p>
    <w:p w:rsidR="00E539D0" w:rsidRDefault="00E539D0" w:rsidP="00E539D0">
      <w:pPr>
        <w:pStyle w:val="Szvegtrzs"/>
        <w:spacing w:after="0" w:line="260" w:lineRule="atLeast"/>
        <w:ind w:left="705"/>
        <w:jc w:val="both"/>
        <w:rPr>
          <w:rFonts w:ascii="Verdana" w:eastAsia="SimSun" w:hAnsi="Verdana"/>
          <w:sz w:val="22"/>
          <w:szCs w:val="22"/>
        </w:rPr>
      </w:pPr>
    </w:p>
    <w:p w:rsidR="00E539D0" w:rsidRDefault="00E539D0" w:rsidP="00E539D0">
      <w:pPr>
        <w:pStyle w:val="Szvegtrzs"/>
        <w:spacing w:after="0" w:line="260" w:lineRule="atLeast"/>
        <w:ind w:left="705"/>
        <w:jc w:val="both"/>
        <w:rPr>
          <w:rFonts w:ascii="Verdana" w:eastAsia="SimSun" w:hAnsi="Verdana"/>
          <w:sz w:val="22"/>
          <w:szCs w:val="22"/>
        </w:rPr>
      </w:pPr>
      <w:r>
        <w:rPr>
          <w:rFonts w:ascii="Verdana" w:hAnsi="Verdana"/>
        </w:rPr>
        <w:t>Számlajelentések</w:t>
      </w:r>
    </w:p>
    <w:p w:rsidR="00E539D0" w:rsidRDefault="00E539D0" w:rsidP="00E539D0">
      <w:pPr>
        <w:pStyle w:val="Szvegtrzs"/>
        <w:spacing w:after="0" w:line="260" w:lineRule="atLeast"/>
        <w:ind w:left="703"/>
        <w:jc w:val="both"/>
        <w:rPr>
          <w:rFonts w:ascii="Verdana" w:eastAsia="SimSun" w:hAnsi="Verdana"/>
          <w:sz w:val="22"/>
          <w:szCs w:val="22"/>
        </w:rPr>
      </w:pPr>
      <w:r>
        <w:rPr>
          <w:rFonts w:ascii="Verdana" w:eastAsia="SimSun" w:hAnsi="Verdana"/>
          <w:sz w:val="22"/>
          <w:szCs w:val="22"/>
        </w:rPr>
        <w:t>Számlamozgásokat jogcímenként összesítő banki egyenleg kimutatás:</w:t>
      </w:r>
    </w:p>
    <w:p w:rsidR="00E539D0" w:rsidRDefault="00E539D0" w:rsidP="00E539D0">
      <w:pPr>
        <w:rPr>
          <w:rFonts w:ascii="Verdana" w:eastAsia="SimSun" w:hAnsi="Verdana"/>
          <w:sz w:val="22"/>
          <w:szCs w:val="22"/>
        </w:rPr>
      </w:pPr>
      <w:r>
        <w:rPr>
          <w:rFonts w:ascii="Verdana" w:eastAsia="SimSun" w:hAnsi="Verdana"/>
          <w:sz w:val="22"/>
          <w:szCs w:val="22"/>
        </w:rPr>
        <w:br w:type="page"/>
      </w:r>
    </w:p>
    <w:p w:rsidR="00E539D0" w:rsidRDefault="00E539D0" w:rsidP="00E539D0">
      <w:pPr>
        <w:pStyle w:val="Szvegtrzs"/>
        <w:spacing w:after="0" w:line="260" w:lineRule="atLeast"/>
        <w:ind w:left="703"/>
        <w:jc w:val="both"/>
        <w:rPr>
          <w:rFonts w:ascii="Verdana" w:eastAsia="SimSun" w:hAnsi="Verdana"/>
          <w:sz w:val="22"/>
          <w:szCs w:val="22"/>
        </w:rPr>
      </w:pPr>
    </w:p>
    <w:tbl>
      <w:tblPr>
        <w:tblW w:w="0" w:type="auto"/>
        <w:tblInd w:w="55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94"/>
        <w:gridCol w:w="2921"/>
        <w:gridCol w:w="202"/>
        <w:gridCol w:w="2858"/>
        <w:gridCol w:w="1411"/>
      </w:tblGrid>
      <w:tr w:rsidR="00E539D0" w:rsidTr="001159B2">
        <w:trPr>
          <w:cantSplit/>
          <w:trHeight w:val="510"/>
        </w:trPr>
        <w:tc>
          <w:tcPr>
            <w:tcW w:w="159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  <w:b/>
                <w:bCs/>
              </w:rPr>
            </w:pPr>
            <w:r>
              <w:rPr>
                <w:rFonts w:ascii="Verdana" w:eastAsia="SimSun" w:hAnsi="Verdana"/>
                <w:b/>
                <w:bCs/>
                <w:sz w:val="22"/>
                <w:szCs w:val="22"/>
              </w:rPr>
              <w:t>Nyitóegyenleg</w:t>
            </w: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  <w:b/>
                <w:bCs/>
              </w:rPr>
            </w:pPr>
            <w:r>
              <w:rPr>
                <w:rFonts w:ascii="Verdana" w:eastAsia="SimSun" w:hAnsi="Verdana"/>
                <w:b/>
                <w:bCs/>
                <w:sz w:val="22"/>
                <w:szCs w:val="22"/>
              </w:rPr>
              <w:t>Jóváírások</w:t>
            </w:r>
          </w:p>
        </w:tc>
        <w:tc>
          <w:tcPr>
            <w:tcW w:w="20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  <w:b/>
                <w:bCs/>
              </w:rPr>
            </w:pPr>
            <w:r>
              <w:rPr>
                <w:rFonts w:ascii="Verdana" w:eastAsia="SimSun" w:hAnsi="Verdana"/>
                <w:b/>
                <w:bCs/>
                <w:sz w:val="22"/>
                <w:szCs w:val="22"/>
              </w:rPr>
              <w:t xml:space="preserve"> </w:t>
            </w: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  <w:b/>
                <w:bCs/>
              </w:rPr>
            </w:pPr>
            <w:r>
              <w:rPr>
                <w:rFonts w:ascii="Verdana" w:eastAsia="SimSun" w:hAnsi="Verdana"/>
                <w:b/>
                <w:bCs/>
                <w:sz w:val="22"/>
                <w:szCs w:val="22"/>
              </w:rPr>
              <w:t>Terhelések</w:t>
            </w:r>
          </w:p>
        </w:tc>
        <w:tc>
          <w:tcPr>
            <w:tcW w:w="1411" w:type="dxa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  <w:b/>
                <w:bCs/>
              </w:rPr>
            </w:pPr>
            <w:r>
              <w:rPr>
                <w:rFonts w:ascii="Verdana" w:eastAsia="SimSun" w:hAnsi="Verdana"/>
                <w:b/>
                <w:bCs/>
                <w:sz w:val="22"/>
                <w:szCs w:val="22"/>
              </w:rPr>
              <w:t>Záró-egyenleg</w:t>
            </w: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Sajátrész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</w:rPr>
              <w:t>Saját rész visszafizetés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spacing w:before="240" w:line="260" w:lineRule="atLeast"/>
              <w:jc w:val="center"/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 w:val="restart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jc w:val="center"/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Támogatás leh</w:t>
            </w:r>
            <w:r>
              <w:rPr>
                <w:rFonts w:ascii="Verdana" w:hAnsi="Verdana"/>
                <w:sz w:val="22"/>
                <w:szCs w:val="22"/>
              </w:rPr>
              <w:t>í</w:t>
            </w:r>
            <w:r>
              <w:rPr>
                <w:rFonts w:ascii="Verdana" w:eastAsia="SimSun" w:hAnsi="Verdana"/>
                <w:sz w:val="22"/>
                <w:szCs w:val="22"/>
              </w:rPr>
              <w:t>vás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8" w:space="0" w:color="000000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Számlavezetéssel kapcsolatos költségek</w:t>
            </w:r>
          </w:p>
        </w:tc>
        <w:tc>
          <w:tcPr>
            <w:tcW w:w="1411" w:type="dxa"/>
            <w:vMerge w:val="restart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spacing w:before="240" w:line="260" w:lineRule="atLeast"/>
              <w:jc w:val="center"/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spacing w:before="240" w:line="260" w:lineRule="atLeast"/>
              <w:jc w:val="center"/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Betéti kamatok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Támogatás visszafizetése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Tőketörlesztések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 xml:space="preserve">Társaság részére utalt betéti kamat 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Bankköltség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 xml:space="preserve">Közvetítőnek utalandó betéti kamat 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Veszteség befizetés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Hitelfolyósítás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vMerge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nil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Behajtásból származó bevétel</w:t>
            </w:r>
          </w:p>
        </w:tc>
        <w:tc>
          <w:tcPr>
            <w:tcW w:w="20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Helyesbítés-terhelés</w:t>
            </w:r>
          </w:p>
        </w:tc>
        <w:tc>
          <w:tcPr>
            <w:tcW w:w="1411" w:type="dxa"/>
            <w:vMerge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Értékesített behajtás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Kihasználatlan forrás visszautalása</w:t>
            </w: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Helyesbítés-jóváírás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4" w:space="0" w:color="auto"/>
              <w:left w:val="nil"/>
              <w:bottom w:val="single" w:sz="4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  <w:tr w:rsidR="00E539D0" w:rsidTr="001159B2">
        <w:trPr>
          <w:cantSplit/>
          <w:trHeight w:val="510"/>
        </w:trPr>
        <w:tc>
          <w:tcPr>
            <w:tcW w:w="1594" w:type="dxa"/>
            <w:tcBorders>
              <w:top w:val="nil"/>
              <w:left w:val="nil"/>
              <w:bottom w:val="nil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92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  <w:sz w:val="22"/>
                <w:szCs w:val="22"/>
              </w:rPr>
            </w:pPr>
            <w:r>
              <w:rPr>
                <w:rFonts w:ascii="Verdana" w:eastAsia="SimSun" w:hAnsi="Verdana"/>
                <w:sz w:val="22"/>
                <w:szCs w:val="22"/>
              </w:rPr>
              <w:t>Jogosulatlan forrásfelhasználás kamat befizetés</w:t>
            </w:r>
          </w:p>
        </w:tc>
        <w:tc>
          <w:tcPr>
            <w:tcW w:w="20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2858" w:type="dxa"/>
            <w:tcBorders>
              <w:top w:val="single" w:sz="4" w:space="0" w:color="000000"/>
              <w:left w:val="nil"/>
              <w:bottom w:val="single" w:sz="4" w:space="0" w:color="auto"/>
              <w:right w:val="single" w:sz="8" w:space="0" w:color="000000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  <w:tc>
          <w:tcPr>
            <w:tcW w:w="1411" w:type="dxa"/>
            <w:tcBorders>
              <w:top w:val="nil"/>
              <w:left w:val="single" w:sz="8" w:space="0" w:color="000000"/>
              <w:bottom w:val="nil"/>
              <w:right w:val="nil"/>
            </w:tcBorders>
            <w:vAlign w:val="center"/>
          </w:tcPr>
          <w:p w:rsidR="00E539D0" w:rsidRDefault="00E539D0" w:rsidP="001159B2">
            <w:pPr>
              <w:rPr>
                <w:rFonts w:ascii="Verdana" w:eastAsia="SimSun" w:hAnsi="Verdana"/>
              </w:rPr>
            </w:pPr>
          </w:p>
        </w:tc>
      </w:tr>
    </w:tbl>
    <w:p w:rsidR="00E539D0" w:rsidRDefault="00E539D0" w:rsidP="00E539D0">
      <w:pPr>
        <w:pStyle w:val="AODocTxt"/>
        <w:numPr>
          <w:ilvl w:val="0"/>
          <w:numId w:val="0"/>
        </w:numPr>
      </w:pPr>
      <w:bookmarkStart w:id="51" w:name="_Toc179953158"/>
      <w:bookmarkStart w:id="52" w:name="_Toc179954744"/>
      <w:bookmarkStart w:id="53" w:name="_Toc180318095"/>
    </w:p>
    <w:p w:rsidR="00E539D0" w:rsidRDefault="00E539D0" w:rsidP="00E539D0">
      <w:pPr>
        <w:pStyle w:val="Cmsor3"/>
        <w:jc w:val="center"/>
        <w:rPr>
          <w:rFonts w:ascii="Verdana" w:hAnsi="Verdana"/>
          <w:b/>
        </w:rPr>
      </w:pPr>
      <w:r>
        <w:rPr>
          <w:rFonts w:ascii="Verdana" w:hAnsi="Verdana"/>
          <w:b/>
        </w:rPr>
        <w:t>IV. Folyamatok</w:t>
      </w:r>
      <w:bookmarkEnd w:id="51"/>
      <w:bookmarkEnd w:id="52"/>
      <w:bookmarkEnd w:id="53"/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bookmarkStart w:id="54" w:name="_Toc179953097"/>
      <w:bookmarkStart w:id="55" w:name="_Toc179953159"/>
      <w:bookmarkStart w:id="56" w:name="_Toc179954745"/>
      <w:bookmarkStart w:id="57" w:name="_Toc180318096"/>
      <w:r>
        <w:rPr>
          <w:rFonts w:ascii="Verdana" w:hAnsi="Verdana"/>
          <w:i/>
          <w:iCs/>
          <w:u w:val="single"/>
        </w:rPr>
        <w:t>1. Hitelek folyósítása (Közvetítő és a Társaság viszonylatában) és nyilvántartása</w:t>
      </w:r>
      <w:bookmarkEnd w:id="54"/>
      <w:bookmarkEnd w:id="55"/>
      <w:bookmarkEnd w:id="56"/>
      <w:bookmarkEnd w:id="57"/>
    </w:p>
    <w:p w:rsidR="00E539D0" w:rsidRDefault="00E539D0" w:rsidP="00E539D0">
      <w:pPr>
        <w:spacing w:before="240" w:line="260" w:lineRule="atLeast"/>
        <w:jc w:val="both"/>
        <w:rPr>
          <w:rFonts w:ascii="Verdana" w:eastAsia="SimSun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 xml:space="preserve">) </w:t>
      </w:r>
      <w:proofErr w:type="spellStart"/>
      <w:r>
        <w:rPr>
          <w:rFonts w:ascii="Verdana" w:hAnsi="Verdana"/>
          <w:sz w:val="22"/>
          <w:szCs w:val="22"/>
        </w:rPr>
        <w:t>A</w:t>
      </w:r>
      <w:proofErr w:type="spellEnd"/>
      <w:r>
        <w:rPr>
          <w:rFonts w:ascii="Verdana" w:hAnsi="Verdana"/>
          <w:sz w:val="22"/>
          <w:szCs w:val="22"/>
        </w:rPr>
        <w:t xml:space="preserve"> Közvetítő a hiteligénylésekről, szerződéskötésekről, elektronikus adat formájában, az IT rendszeren keresztül, az ügyfél („Kedvezményezett”) adatainak, valamint a hitel adatainak megadásával értesíti a Társaságot. Az elektronikus értesítéseket, a Társaság által előírt adatszerkezetben és formátumban szükséges előállítani, hogy azt a Társaság IT rendszere automatikusan fogadni tudja. Az eseti adatszolgáltatást legkésőbb a tárgynapot követő ötödik naptári nap 11 óráig kell teljesíteni. Az új szerződésre vonatkozó adatközlést – beleértve az előzőleg hibás tartalommal beküldött adatközlés módosítását is – a tárgynapot követő 10. naptári napot követően a </w:t>
      </w:r>
      <w:r w:rsidRPr="004054CB">
        <w:rPr>
          <w:rFonts w:ascii="Verdana" w:hAnsi="Verdana"/>
          <w:sz w:val="22"/>
          <w:szCs w:val="22"/>
        </w:rPr>
        <w:t xml:space="preserve">Társaság </w:t>
      </w:r>
      <w:r w:rsidRPr="00207A6C">
        <w:rPr>
          <w:rFonts w:ascii="Verdana" w:hAnsi="Verdana"/>
          <w:sz w:val="22"/>
          <w:szCs w:val="22"/>
        </w:rPr>
        <w:t>csak külön jóváhagyást követően</w:t>
      </w:r>
      <w:r w:rsidRPr="0003049F">
        <w:rPr>
          <w:rFonts w:ascii="Verdana" w:hAnsi="Verdana"/>
          <w:sz w:val="22"/>
          <w:szCs w:val="22"/>
        </w:rPr>
        <w:t xml:space="preserve"> </w:t>
      </w:r>
      <w:r w:rsidRPr="004054CB">
        <w:rPr>
          <w:rFonts w:ascii="Verdana" w:hAnsi="Verdana"/>
          <w:sz w:val="22"/>
          <w:szCs w:val="22"/>
        </w:rPr>
        <w:t>fogadja el</w:t>
      </w:r>
      <w:r>
        <w:rPr>
          <w:rFonts w:ascii="Verdana" w:hAnsi="Verdana"/>
          <w:sz w:val="22"/>
          <w:szCs w:val="22"/>
        </w:rPr>
        <w:t>.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b) 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 xml:space="preserve"> Társaság IT rendszere automatikus ellenőrzéseket végez, majd ennek alapján visszajelez a Közvetítőnek és beállítja a „</w:t>
      </w:r>
      <w:proofErr w:type="spellStart"/>
      <w:r>
        <w:rPr>
          <w:rFonts w:ascii="Verdana" w:hAnsi="Verdana"/>
          <w:sz w:val="22"/>
          <w:szCs w:val="22"/>
        </w:rPr>
        <w:t>Igénylés-</w:t>
      </w:r>
      <w:r>
        <w:rPr>
          <w:rFonts w:ascii="Verdana" w:hAnsi="Verdana"/>
          <w:b/>
          <w:sz w:val="22"/>
          <w:szCs w:val="22"/>
        </w:rPr>
        <w:t>Hibás</w:t>
      </w:r>
      <w:proofErr w:type="spellEnd"/>
      <w:r>
        <w:rPr>
          <w:rFonts w:ascii="Verdana" w:hAnsi="Verdana"/>
          <w:sz w:val="22"/>
          <w:szCs w:val="22"/>
        </w:rPr>
        <w:t>” státuszt vagy jóváhagyja az igénylést és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státuszt. „</w:t>
      </w:r>
      <w:proofErr w:type="spellStart"/>
      <w:r>
        <w:rPr>
          <w:rFonts w:ascii="Verdana" w:hAnsi="Verdana"/>
          <w:sz w:val="22"/>
          <w:szCs w:val="22"/>
        </w:rPr>
        <w:t>Igénylés-</w:t>
      </w:r>
      <w:r>
        <w:rPr>
          <w:rFonts w:ascii="Verdana" w:hAnsi="Verdana"/>
          <w:b/>
          <w:sz w:val="22"/>
          <w:szCs w:val="22"/>
        </w:rPr>
        <w:t>Hibás</w:t>
      </w:r>
      <w:proofErr w:type="spellEnd"/>
      <w:r>
        <w:rPr>
          <w:rFonts w:ascii="Verdana" w:hAnsi="Verdana"/>
          <w:sz w:val="22"/>
          <w:szCs w:val="22"/>
        </w:rPr>
        <w:t>” státuszú ügylet korrigálását javított adatokat tartalmazó adatszolgáltatással tudja a Közvetítő az IT rendszeren beküldeni.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c) Amennyiben a Közvetítő megkapta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 xml:space="preserve">” státusszal a hitel igénylésének jóváhagyását, megkötheti a jóváhagyás alapján a szerződést a Kedvezményezettel, mely alapján az IT rendszeren keresztül erről értesíti a </w:t>
      </w:r>
      <w:r>
        <w:rPr>
          <w:rFonts w:ascii="Verdana" w:hAnsi="Verdana"/>
          <w:sz w:val="22"/>
          <w:szCs w:val="22"/>
        </w:rPr>
        <w:lastRenderedPageBreak/>
        <w:t>Társaságot szerződéskötést követő 5 naptári napon belül – szerződéskötés adatai illetve a Társaság által refinanszírozott hitel esetében Kedvezményezett saját forrásának biztosítása. A Társaság amennyiben az ügylet 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státuszt kap, visszaigazolást küld a Közvetítő részére. Új szerződésre vonatkozó adatközlést – beleértve az előzőleg hibásan megküldött (</w:t>
      </w:r>
      <w:r>
        <w:rPr>
          <w:rFonts w:ascii="Verdana" w:hAnsi="Verdana"/>
          <w:b/>
          <w:sz w:val="22"/>
          <w:szCs w:val="22"/>
        </w:rPr>
        <w:t>„</w:t>
      </w:r>
      <w:proofErr w:type="spellStart"/>
      <w:r>
        <w:rPr>
          <w:rFonts w:ascii="Verdana" w:hAnsi="Verdana"/>
          <w:b/>
          <w:sz w:val="22"/>
          <w:szCs w:val="22"/>
        </w:rPr>
        <w:t>Igényelt-Hibás</w:t>
      </w:r>
      <w:proofErr w:type="spellEnd"/>
      <w:r>
        <w:rPr>
          <w:rFonts w:ascii="Verdana" w:hAnsi="Verdana"/>
          <w:b/>
          <w:sz w:val="22"/>
          <w:szCs w:val="22"/>
        </w:rPr>
        <w:t>”</w:t>
      </w:r>
      <w:r>
        <w:rPr>
          <w:rFonts w:ascii="Verdana" w:hAnsi="Verdana"/>
          <w:sz w:val="22"/>
          <w:szCs w:val="22"/>
        </w:rPr>
        <w:t xml:space="preserve"> státuszú) szerződéses adatközlés módosítását – a tárgynapot követő 10. Naptári napot követően a Társaság csak külön jóváhagyást követően fogad el.</w:t>
      </w:r>
    </w:p>
    <w:p w:rsidR="00E539D0" w:rsidRDefault="00E539D0" w:rsidP="00E539D0">
      <w:pPr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d) Amennyiben az „</w:t>
      </w:r>
      <w:r>
        <w:rPr>
          <w:rFonts w:ascii="Verdana" w:hAnsi="Verdana"/>
          <w:b/>
          <w:sz w:val="22"/>
          <w:szCs w:val="22"/>
        </w:rPr>
        <w:t>Igényelt</w:t>
      </w:r>
      <w:r>
        <w:rPr>
          <w:rFonts w:ascii="Verdana" w:hAnsi="Verdana"/>
          <w:sz w:val="22"/>
          <w:szCs w:val="22"/>
        </w:rPr>
        <w:t>” ügyletre hibás adatközlés érkezik a szerződéskötés adataival, az ügylet megmarad „</w:t>
      </w:r>
      <w:proofErr w:type="spellStart"/>
      <w:r>
        <w:rPr>
          <w:rFonts w:ascii="Verdana" w:hAnsi="Verdana"/>
          <w:b/>
          <w:sz w:val="22"/>
          <w:szCs w:val="22"/>
        </w:rPr>
        <w:t>Igényelt-Hibás</w:t>
      </w:r>
      <w:proofErr w:type="spellEnd"/>
      <w:r>
        <w:rPr>
          <w:rFonts w:ascii="Verdana" w:hAnsi="Verdana"/>
          <w:sz w:val="22"/>
          <w:szCs w:val="22"/>
        </w:rPr>
        <w:t>” státuszban és a Társaság IT rendszere hiba üzenetet küld az ügyletről. Legkorábban a következő munkanapon korrigált adatokkal történő adatszolgáltatással a Közvetítő tudja javítani az ügylet adatait az IT rendszeren keresztül.</w:t>
      </w:r>
    </w:p>
    <w:p w:rsidR="00E539D0" w:rsidRDefault="00E539D0" w:rsidP="00E539D0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e) A Közvetítő folyamatosan köteles az új szerződésekről, módosításokról (biztosíték-, törzsadat módosításáról) illetve jogosulatlan forrásfelhasználásról adatokat küldeni (</w:t>
      </w:r>
      <w:proofErr w:type="gramStart"/>
      <w:r>
        <w:rPr>
          <w:rFonts w:ascii="Verdana" w:hAnsi="Verdana"/>
          <w:sz w:val="22"/>
          <w:szCs w:val="22"/>
        </w:rPr>
        <w:t>a</w:t>
      </w:r>
      <w:proofErr w:type="gramEnd"/>
      <w:r>
        <w:rPr>
          <w:rFonts w:ascii="Verdana" w:hAnsi="Verdana"/>
          <w:sz w:val="22"/>
          <w:szCs w:val="22"/>
        </w:rPr>
        <w:t>, pont alapján). . Az adatközlésnek tartalmaznia kell minden törlesztési eseményt.</w:t>
      </w:r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proofErr w:type="gramStart"/>
      <w:r>
        <w:rPr>
          <w:rFonts w:ascii="Verdana" w:hAnsi="Verdana"/>
          <w:sz w:val="22"/>
          <w:szCs w:val="22"/>
        </w:rPr>
        <w:t>f</w:t>
      </w:r>
      <w:proofErr w:type="gramEnd"/>
      <w:r>
        <w:rPr>
          <w:rFonts w:ascii="Verdana" w:hAnsi="Verdana"/>
          <w:sz w:val="22"/>
          <w:szCs w:val="22"/>
        </w:rPr>
        <w:t xml:space="preserve">) Az IT rendszer automatikusan ellenőrzi a küldött adatállományt. Ha hibát jelez a rendszer, akkor hibaüzenetet küld a Közvetítőnek. Amennyiben szükséges, a Társaság egyezteti az adatokat a Közvetítővel, aki a nyilvántartások felülvizsgálatát követően elküldi a pontosított adatállományt az IT rendszeren keresztül. </w:t>
      </w: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bookmarkStart w:id="58" w:name="_Toc179953099"/>
      <w:bookmarkStart w:id="59" w:name="_Toc179953161"/>
      <w:bookmarkStart w:id="60" w:name="_Toc179954747"/>
      <w:bookmarkStart w:id="61" w:name="_Toc180318098"/>
      <w:r>
        <w:rPr>
          <w:rFonts w:ascii="Verdana" w:hAnsi="Verdana"/>
          <w:i/>
          <w:iCs/>
          <w:u w:val="single"/>
        </w:rPr>
        <w:t>2. Ügyleti szerződések módosítása</w:t>
      </w:r>
      <w:bookmarkEnd w:id="58"/>
      <w:bookmarkEnd w:id="59"/>
      <w:bookmarkEnd w:id="60"/>
      <w:bookmarkEnd w:id="61"/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Kedvezményezett vagy a Közvetítő kérheti a szerződés módosítását. Ebben az esetben a módosítás igényét a Közvetítő jelzi a Társaság IT rendszere felé. </w:t>
      </w: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Módosítás típusai:</w:t>
      </w: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1.</w:t>
      </w:r>
      <w:r>
        <w:rPr>
          <w:rFonts w:ascii="Verdana" w:hAnsi="Verdana"/>
          <w:sz w:val="22"/>
          <w:szCs w:val="22"/>
        </w:rPr>
        <w:tab/>
        <w:t>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hiteleken</w:t>
      </w: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törzsadat</w:t>
      </w:r>
      <w:proofErr w:type="gramEnd"/>
      <w:r>
        <w:rPr>
          <w:rFonts w:ascii="Verdana" w:hAnsi="Verdana"/>
          <w:sz w:val="22"/>
          <w:szCs w:val="22"/>
        </w:rPr>
        <w:t xml:space="preserve"> módosítása</w:t>
      </w: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szerződés</w:t>
      </w:r>
      <w:proofErr w:type="gramEnd"/>
      <w:r>
        <w:rPr>
          <w:rFonts w:ascii="Verdana" w:hAnsi="Verdana"/>
          <w:sz w:val="22"/>
          <w:szCs w:val="22"/>
        </w:rPr>
        <w:t xml:space="preserve"> módosítása (futamidő illetve hitelösszeg módosítása)</w:t>
      </w:r>
    </w:p>
    <w:p w:rsidR="00E539D0" w:rsidRDefault="00E539D0" w:rsidP="00E539D0">
      <w:pPr>
        <w:ind w:left="567" w:hanging="567"/>
        <w:jc w:val="both"/>
        <w:rPr>
          <w:rFonts w:ascii="Verdana" w:hAnsi="Verdana"/>
          <w:b/>
          <w:sz w:val="22"/>
          <w:szCs w:val="22"/>
          <w:u w:val="single"/>
        </w:rPr>
      </w:pPr>
      <w:r>
        <w:rPr>
          <w:rFonts w:ascii="Verdana" w:hAnsi="Verdana"/>
          <w:sz w:val="22"/>
          <w:szCs w:val="22"/>
        </w:rPr>
        <w:tab/>
      </w:r>
      <w:proofErr w:type="gramStart"/>
      <w:r>
        <w:rPr>
          <w:rFonts w:ascii="Verdana" w:hAnsi="Verdana"/>
          <w:sz w:val="22"/>
          <w:szCs w:val="22"/>
        </w:rPr>
        <w:t>biztosíték</w:t>
      </w:r>
      <w:proofErr w:type="gramEnd"/>
      <w:r>
        <w:rPr>
          <w:rFonts w:ascii="Verdana" w:hAnsi="Verdana"/>
          <w:sz w:val="22"/>
          <w:szCs w:val="22"/>
        </w:rPr>
        <w:t xml:space="preserve"> módosítása</w:t>
      </w:r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Ha a rendszer a módosítási kérésben közölt adatokat elfogadja, értesíti erről a Közvetítőt. </w:t>
      </w: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Amennyiben az IT rendszer nem tudja befogadni a beérkezett adatokat, erről – hibaüzenet megjelölésével – értesítést küld a Közvetítő részére</w:t>
      </w:r>
      <w:proofErr w:type="gramStart"/>
      <w:r>
        <w:rPr>
          <w:rFonts w:ascii="Verdana" w:hAnsi="Verdana"/>
          <w:sz w:val="22"/>
          <w:szCs w:val="22"/>
        </w:rPr>
        <w:t>..</w:t>
      </w:r>
      <w:proofErr w:type="gramEnd"/>
    </w:p>
    <w:p w:rsidR="00E539D0" w:rsidRDefault="00E539D0" w:rsidP="00E539D0">
      <w:pPr>
        <w:ind w:left="567" w:hanging="567"/>
        <w:jc w:val="both"/>
        <w:rPr>
          <w:rFonts w:ascii="Verdana" w:hAnsi="Verdana"/>
          <w:sz w:val="22"/>
          <w:szCs w:val="22"/>
        </w:rPr>
      </w:pP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bookmarkStart w:id="62" w:name="_Toc179953100"/>
      <w:bookmarkStart w:id="63" w:name="_Toc179953162"/>
      <w:bookmarkStart w:id="64" w:name="_Toc179954748"/>
      <w:bookmarkStart w:id="65" w:name="_Toc180318099"/>
      <w:r>
        <w:rPr>
          <w:rFonts w:ascii="Verdana" w:hAnsi="Verdana"/>
          <w:i/>
          <w:iCs/>
          <w:u w:val="single"/>
        </w:rPr>
        <w:t>3. Felmondott ügyletek</w:t>
      </w:r>
      <w:bookmarkEnd w:id="62"/>
      <w:bookmarkEnd w:id="63"/>
      <w:bookmarkEnd w:id="64"/>
      <w:bookmarkEnd w:id="65"/>
    </w:p>
    <w:p w:rsidR="00E539D0" w:rsidRPr="002E08F8" w:rsidRDefault="00E539D0" w:rsidP="00E539D0">
      <w:pPr>
        <w:tabs>
          <w:tab w:val="num" w:pos="72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 w:rsidRPr="002E08F8">
        <w:rPr>
          <w:rFonts w:ascii="Verdana" w:hAnsi="Verdana"/>
          <w:sz w:val="22"/>
          <w:szCs w:val="22"/>
        </w:rPr>
        <w:t xml:space="preserve">Amennyiben az ügylet bármely okból felmondásra kerül a Közvetítő által, a Közvetítő erről eseti adatközlés keretében értesíti a Társaság IT rendszerét és az ügylet státusza </w:t>
      </w:r>
      <w:r w:rsidRPr="002E08F8">
        <w:rPr>
          <w:rFonts w:ascii="Verdana" w:hAnsi="Verdana"/>
          <w:b/>
          <w:bCs/>
          <w:sz w:val="22"/>
          <w:szCs w:val="22"/>
        </w:rPr>
        <w:t>„Felmondott”</w:t>
      </w:r>
      <w:proofErr w:type="spellStart"/>
      <w:r w:rsidRPr="002E08F8">
        <w:rPr>
          <w:rFonts w:ascii="Verdana" w:hAnsi="Verdana"/>
          <w:sz w:val="22"/>
          <w:szCs w:val="22"/>
        </w:rPr>
        <w:t>-ra</w:t>
      </w:r>
      <w:proofErr w:type="spellEnd"/>
      <w:r w:rsidRPr="002E08F8">
        <w:rPr>
          <w:rFonts w:ascii="Verdana" w:hAnsi="Verdana"/>
          <w:sz w:val="22"/>
          <w:szCs w:val="22"/>
        </w:rPr>
        <w:t xml:space="preserve"> változik.</w:t>
      </w: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bookmarkStart w:id="66" w:name="_Toc179953101"/>
      <w:bookmarkStart w:id="67" w:name="_Toc179953163"/>
      <w:bookmarkStart w:id="68" w:name="_Toc179954749"/>
      <w:bookmarkStart w:id="69" w:name="_Toc180318100"/>
      <w:r>
        <w:rPr>
          <w:rFonts w:ascii="Verdana" w:hAnsi="Verdana"/>
          <w:i/>
          <w:iCs/>
          <w:u w:val="single"/>
        </w:rPr>
        <w:t>4. Az ügyleti szerződés lezárása</w:t>
      </w:r>
      <w:bookmarkEnd w:id="66"/>
      <w:bookmarkEnd w:id="67"/>
      <w:r>
        <w:rPr>
          <w:rFonts w:ascii="Verdana" w:hAnsi="Verdana"/>
          <w:i/>
          <w:iCs/>
          <w:u w:val="single"/>
        </w:rPr>
        <w:t xml:space="preserve"> (felmondás, beváltás, behajtás, lezárás)</w:t>
      </w:r>
      <w:bookmarkEnd w:id="68"/>
      <w:bookmarkEnd w:id="69"/>
    </w:p>
    <w:p w:rsidR="00E539D0" w:rsidRDefault="00E539D0" w:rsidP="00E539D0">
      <w:pPr>
        <w:pStyle w:val="Szvegtrzs"/>
        <w:spacing w:before="240" w:after="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Egy adott ügylet lezárása 2 státuszból adódhat: 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és „</w:t>
      </w:r>
      <w:r>
        <w:rPr>
          <w:rFonts w:ascii="Verdana" w:hAnsi="Verdana"/>
          <w:b/>
          <w:sz w:val="22"/>
          <w:szCs w:val="22"/>
        </w:rPr>
        <w:t>Felmondott</w:t>
      </w:r>
      <w:r>
        <w:rPr>
          <w:rFonts w:ascii="Verdana" w:hAnsi="Verdana"/>
          <w:sz w:val="22"/>
          <w:szCs w:val="22"/>
        </w:rPr>
        <w:t>”.</w:t>
      </w:r>
    </w:p>
    <w:p w:rsidR="00E539D0" w:rsidRDefault="00E539D0" w:rsidP="00E539D0">
      <w:pPr>
        <w:pStyle w:val="Szvegtrzs"/>
        <w:spacing w:before="240" w:after="0" w:line="260" w:lineRule="atLeast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lastRenderedPageBreak/>
        <w:t>1.</w:t>
      </w:r>
      <w:r>
        <w:rPr>
          <w:rFonts w:ascii="Verdana" w:hAnsi="Verdana"/>
          <w:sz w:val="22"/>
          <w:szCs w:val="22"/>
        </w:rPr>
        <w:tab/>
        <w:t>„</w:t>
      </w:r>
      <w:r>
        <w:rPr>
          <w:rFonts w:ascii="Verdana" w:hAnsi="Verdana"/>
          <w:b/>
          <w:sz w:val="22"/>
          <w:szCs w:val="22"/>
        </w:rPr>
        <w:t>Szerződött</w:t>
      </w:r>
      <w:r>
        <w:rPr>
          <w:rFonts w:ascii="Verdana" w:hAnsi="Verdana"/>
          <w:sz w:val="22"/>
          <w:szCs w:val="22"/>
        </w:rPr>
        <w:t>” hitelnél, amennyiben a törlesztő részletek, kamatok az előírtnak megfelelően érkeznek be, a hitel kifut futamidő végén. Ilyen esetben az ügylet státuszát a közvetítő az IT rendszerben „</w:t>
      </w:r>
      <w:r>
        <w:rPr>
          <w:rFonts w:ascii="Verdana" w:hAnsi="Verdana"/>
          <w:b/>
          <w:sz w:val="22"/>
          <w:szCs w:val="22"/>
        </w:rPr>
        <w:t>Lezárt</w:t>
      </w:r>
      <w:r>
        <w:rPr>
          <w:rFonts w:ascii="Verdana" w:hAnsi="Verdana"/>
          <w:sz w:val="22"/>
          <w:szCs w:val="22"/>
        </w:rPr>
        <w:t xml:space="preserve">” státuszra módosítja. Az ügylet lezárásáról az IT rendszer értesíti a Közvetítőt. </w:t>
      </w:r>
    </w:p>
    <w:p w:rsidR="00E539D0" w:rsidRDefault="00E539D0" w:rsidP="00E539D0">
      <w:pPr>
        <w:pStyle w:val="Szvegtrzs"/>
        <w:spacing w:before="240" w:after="0" w:line="260" w:lineRule="atLeast"/>
        <w:ind w:left="720" w:hanging="720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>2.</w:t>
      </w:r>
      <w:r>
        <w:rPr>
          <w:rFonts w:ascii="Verdana" w:hAnsi="Verdana"/>
          <w:sz w:val="22"/>
          <w:szCs w:val="22"/>
        </w:rPr>
        <w:tab/>
        <w:t>„</w:t>
      </w:r>
      <w:r>
        <w:rPr>
          <w:rFonts w:ascii="Verdana" w:hAnsi="Verdana"/>
          <w:b/>
          <w:sz w:val="22"/>
          <w:szCs w:val="22"/>
        </w:rPr>
        <w:t>Felmondott</w:t>
      </w:r>
      <w:r>
        <w:rPr>
          <w:rFonts w:ascii="Verdana" w:hAnsi="Verdana"/>
          <w:sz w:val="22"/>
          <w:szCs w:val="22"/>
        </w:rPr>
        <w:t>” ügylet esetében a Közvetítő elindítja a behajtás vagy engedményezés folyamatát, az ügylet státusza „</w:t>
      </w:r>
      <w:r>
        <w:rPr>
          <w:rFonts w:ascii="Verdana" w:hAnsi="Verdana"/>
          <w:b/>
          <w:sz w:val="22"/>
          <w:szCs w:val="22"/>
        </w:rPr>
        <w:t>Behajtás alatt</w:t>
      </w:r>
      <w:r>
        <w:rPr>
          <w:rFonts w:ascii="Verdana" w:hAnsi="Verdana"/>
          <w:sz w:val="22"/>
          <w:szCs w:val="22"/>
        </w:rPr>
        <w:t>”</w:t>
      </w:r>
      <w:proofErr w:type="spellStart"/>
      <w:r>
        <w:rPr>
          <w:rFonts w:ascii="Verdana" w:hAnsi="Verdana"/>
          <w:sz w:val="22"/>
          <w:szCs w:val="22"/>
        </w:rPr>
        <w:t>-ra</w:t>
      </w:r>
      <w:proofErr w:type="spellEnd"/>
      <w:r>
        <w:rPr>
          <w:rFonts w:ascii="Verdana" w:hAnsi="Verdana"/>
          <w:sz w:val="22"/>
          <w:szCs w:val="22"/>
        </w:rPr>
        <w:t xml:space="preserve"> módosul. Ha a behajtási folyamatot lezártnak tekintik és a szükséges könyvelési lépéseket a Közvetítő elvégezte, az ügylet státusza „</w:t>
      </w:r>
      <w:r>
        <w:rPr>
          <w:rFonts w:ascii="Verdana" w:hAnsi="Verdana"/>
          <w:b/>
          <w:sz w:val="22"/>
          <w:szCs w:val="22"/>
        </w:rPr>
        <w:t>Lezárt</w:t>
      </w:r>
      <w:r>
        <w:rPr>
          <w:rFonts w:ascii="Verdana" w:hAnsi="Verdana"/>
          <w:sz w:val="22"/>
          <w:szCs w:val="22"/>
        </w:rPr>
        <w:t>” lesz.</w:t>
      </w: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5. Jogosulatlan forrásfelhasználás kezelése</w:t>
      </w:r>
    </w:p>
    <w:p w:rsidR="00E539D0" w:rsidRDefault="00E539D0" w:rsidP="00E539D0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 Közvetítő az IT rendszeren keresztül küldött értesítéssel vagy írásban (email, fax, postai levél) naponta, legkésőbb a tárgynapot követő napon köteles tájékoztatni a Társaságot abban az esetben, ha egy adott ügylettel kapcsolatban </w:t>
      </w:r>
      <w:r>
        <w:rPr>
          <w:rFonts w:ascii="Verdana" w:hAnsi="Verdana"/>
          <w:i/>
          <w:iCs/>
          <w:u w:val="single"/>
        </w:rPr>
        <w:t>Jogosulatlan forrásfelhasználás</w:t>
      </w:r>
      <w:r>
        <w:rPr>
          <w:rFonts w:ascii="Verdana" w:hAnsi="Verdana"/>
          <w:sz w:val="22"/>
          <w:szCs w:val="22"/>
        </w:rPr>
        <w:t>t észlel. A Társaság b</w:t>
      </w:r>
      <w:r w:rsidRPr="00700C65">
        <w:rPr>
          <w:rFonts w:ascii="Verdana" w:hAnsi="Verdana"/>
          <w:sz w:val="22"/>
          <w:szCs w:val="22"/>
        </w:rPr>
        <w:t xml:space="preserve">eállítja az ügyleten a jogosulatlan </w:t>
      </w:r>
      <w:r>
        <w:rPr>
          <w:rFonts w:ascii="Verdana" w:hAnsi="Verdana"/>
          <w:sz w:val="22"/>
          <w:szCs w:val="22"/>
        </w:rPr>
        <w:t>megjelölést és erről értesíti a Közvetítőt. Az ügylettel kapcsolatosan a Társaság és a Közvetítő egyezteti az adatokat, felülvizsgálják az ügylet teljes dokumentációját.</w:t>
      </w:r>
    </w:p>
    <w:p w:rsidR="00E539D0" w:rsidRDefault="00E539D0" w:rsidP="00E539D0">
      <w:pPr>
        <w:tabs>
          <w:tab w:val="num" w:pos="540"/>
        </w:tabs>
        <w:spacing w:before="240" w:line="260" w:lineRule="atLeast"/>
        <w:jc w:val="both"/>
        <w:rPr>
          <w:rFonts w:ascii="Verdana" w:hAnsi="Verdana"/>
          <w:sz w:val="22"/>
          <w:szCs w:val="22"/>
        </w:rPr>
      </w:pPr>
      <w:r>
        <w:rPr>
          <w:rFonts w:ascii="Verdana" w:hAnsi="Verdana"/>
          <w:sz w:val="22"/>
          <w:szCs w:val="22"/>
        </w:rPr>
        <w:t xml:space="preserve">Amennyiben a Jogosulatlan </w:t>
      </w:r>
      <w:proofErr w:type="spellStart"/>
      <w:r>
        <w:rPr>
          <w:rFonts w:ascii="Verdana" w:hAnsi="Verdana"/>
          <w:sz w:val="22"/>
          <w:szCs w:val="22"/>
        </w:rPr>
        <w:t>forrásfelhasználású</w:t>
      </w:r>
      <w:proofErr w:type="spellEnd"/>
      <w:r>
        <w:rPr>
          <w:rFonts w:ascii="Verdana" w:hAnsi="Verdana"/>
          <w:sz w:val="22"/>
          <w:szCs w:val="22"/>
        </w:rPr>
        <w:t xml:space="preserve"> ügyletből származó fennálló tőke- és kamattartozást a Közvetítő rendezte és erről a Társaságot írásban értesítette, a Társaság lezárja az ügyletet és átállítja annak státuszát „</w:t>
      </w:r>
      <w:r>
        <w:rPr>
          <w:rFonts w:ascii="Verdana" w:hAnsi="Verdana"/>
          <w:b/>
          <w:sz w:val="22"/>
          <w:szCs w:val="22"/>
        </w:rPr>
        <w:t>Lezárt</w:t>
      </w:r>
      <w:r>
        <w:rPr>
          <w:rFonts w:ascii="Verdana" w:hAnsi="Verdana"/>
          <w:sz w:val="22"/>
          <w:szCs w:val="22"/>
        </w:rPr>
        <w:t>” státuszra.</w:t>
      </w:r>
    </w:p>
    <w:p w:rsidR="00E539D0" w:rsidRDefault="00E539D0" w:rsidP="00E539D0">
      <w:pPr>
        <w:rPr>
          <w:rFonts w:ascii="Verdana" w:hAnsi="Verdana"/>
          <w:b/>
          <w:sz w:val="22"/>
          <w:szCs w:val="22"/>
        </w:rPr>
      </w:pPr>
    </w:p>
    <w:p w:rsidR="00E539D0" w:rsidRDefault="00E539D0" w:rsidP="00E539D0">
      <w:pPr>
        <w:pStyle w:val="Cmsor3"/>
        <w:jc w:val="center"/>
        <w:rPr>
          <w:rFonts w:ascii="Verdana" w:hAnsi="Verdana"/>
          <w:i/>
          <w:iCs/>
          <w:u w:val="single"/>
        </w:rPr>
      </w:pPr>
      <w:r>
        <w:rPr>
          <w:rFonts w:ascii="Verdana" w:hAnsi="Verdana"/>
          <w:i/>
          <w:iCs/>
          <w:u w:val="single"/>
        </w:rPr>
        <w:t>6. Tőketörlesztés visszautalása</w:t>
      </w:r>
    </w:p>
    <w:p w:rsidR="00E539D0" w:rsidRDefault="00E539D0" w:rsidP="00E539D0">
      <w:pPr>
        <w:pStyle w:val="AODocTxt"/>
        <w:numPr>
          <w:ilvl w:val="0"/>
          <w:numId w:val="2"/>
        </w:numPr>
      </w:pPr>
      <w:r>
        <w:rPr>
          <w:rFonts w:ascii="Verdana" w:hAnsi="Verdana"/>
        </w:rPr>
        <w:t xml:space="preserve">Az USZH Program keretében kihelyezett hitelek </w:t>
      </w:r>
      <w:proofErr w:type="spellStart"/>
      <w:r>
        <w:rPr>
          <w:rFonts w:ascii="Verdana" w:hAnsi="Verdana"/>
        </w:rPr>
        <w:t>kedvezményezetti</w:t>
      </w:r>
      <w:proofErr w:type="spellEnd"/>
      <w:r>
        <w:rPr>
          <w:rFonts w:ascii="Verdana" w:hAnsi="Verdana"/>
        </w:rPr>
        <w:t xml:space="preserve"> tőketörlesztését a Közvetítő a Társaság által megadott Programszámlára köteles visszautalni. A Közvetítő a visszautalással egy időben jogosult a visszautalt tőketörlesztés összegével megegyező Előfinanszírozási egység lehívására. A visszautalást megelőzően a Közvetítő egyeztet a Társasággal a visszautalás módjáról és összegéről.</w:t>
      </w:r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</w:p>
    <w:p w:rsidR="00586BDD" w:rsidRDefault="00E539D0">
      <w:bookmarkStart w:id="70" w:name="_GoBack"/>
      <w:bookmarkEnd w:id="70"/>
    </w:p>
    <w:sectPr w:rsidR="00586BDD" w:rsidSect="00795B7F">
      <w:footerReference w:type="default" r:id="rId6"/>
      <w:footnotePr>
        <w:numRestart w:val="eachSect"/>
      </w:footnotePr>
      <w:pgSz w:w="11906" w:h="16838" w:code="9"/>
      <w:pgMar w:top="1440" w:right="1440" w:bottom="1440" w:left="1440" w:header="708" w:footer="708" w:gutter="0"/>
      <w:paperSrc w:first="15" w:other="15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EE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74663613"/>
      <w:docPartObj>
        <w:docPartGallery w:val="Page Numbers (Bottom of Page)"/>
        <w:docPartUnique/>
      </w:docPartObj>
    </w:sdtPr>
    <w:sdtEndPr/>
    <w:sdtContent>
      <w:p w:rsidR="00A85D3E" w:rsidRDefault="00E539D0">
        <w:pPr>
          <w:pStyle w:val="ll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A85D3E" w:rsidRDefault="00E539D0">
    <w:pPr>
      <w:pStyle w:val="llb"/>
    </w:pP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8E2CE6"/>
    <w:multiLevelType w:val="multilevel"/>
    <w:tmpl w:val="95DEDB0E"/>
    <w:lvl w:ilvl="0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  <w:i w:val="0"/>
        <w:caps/>
        <w:smallCaps w:val="0"/>
        <w:sz w:val="22"/>
      </w:rPr>
    </w:lvl>
    <w:lvl w:ilvl="1">
      <w:start w:val="1"/>
      <w:numFmt w:val="bullet"/>
      <w:lvlText w:val=""/>
      <w:lvlJc w:val="left"/>
      <w:pPr>
        <w:ind w:left="720"/>
      </w:pPr>
      <w:rPr>
        <w:rFonts w:ascii="Symbol" w:hAnsi="Symbol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">
    <w:nsid w:val="164348AC"/>
    <w:multiLevelType w:val="hybridMultilevel"/>
    <w:tmpl w:val="954899F8"/>
    <w:lvl w:ilvl="0" w:tplc="040E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E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55A2B18C">
      <w:start w:val="1"/>
      <w:numFmt w:val="lowerLetter"/>
      <w:lvlText w:val="%3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3" w:tplc="040E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937621F"/>
    <w:multiLevelType w:val="hybridMultilevel"/>
    <w:tmpl w:val="22021AB2"/>
    <w:lvl w:ilvl="0" w:tplc="040E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2B6A2B19"/>
    <w:multiLevelType w:val="hybridMultilevel"/>
    <w:tmpl w:val="7224709E"/>
    <w:lvl w:ilvl="0" w:tplc="01EE8000">
      <w:start w:val="1"/>
      <w:numFmt w:val="upperRoman"/>
      <w:lvlText w:val="%1."/>
      <w:lvlJc w:val="left"/>
      <w:pPr>
        <w:ind w:left="720" w:hanging="360"/>
      </w:pPr>
      <w:rPr>
        <w:rFonts w:ascii="Verdana" w:eastAsia="Times New Roman" w:hAnsi="Verdana" w:cs="Times New Roman"/>
      </w:rPr>
    </w:lvl>
    <w:lvl w:ilvl="1" w:tplc="040E000F">
      <w:start w:val="1"/>
      <w:numFmt w:val="decimal"/>
      <w:lvlText w:val="%2."/>
      <w:lvlJc w:val="left"/>
      <w:pPr>
        <w:ind w:left="1440" w:hanging="360"/>
      </w:pPr>
      <w:rPr>
        <w:rFonts w:cs="Times New Roman"/>
      </w:rPr>
    </w:lvl>
    <w:lvl w:ilvl="2" w:tplc="4918B008">
      <w:start w:val="1"/>
      <w:numFmt w:val="lowerLetter"/>
      <w:lvlText w:val="%3)"/>
      <w:lvlJc w:val="left"/>
      <w:pPr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31344F7C"/>
    <w:multiLevelType w:val="hybridMultilevel"/>
    <w:tmpl w:val="05F84A8C"/>
    <w:lvl w:ilvl="0" w:tplc="040E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3BED38E7"/>
    <w:multiLevelType w:val="hybridMultilevel"/>
    <w:tmpl w:val="585E609C"/>
    <w:lvl w:ilvl="0" w:tplc="9F8426E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0E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B75E3E02">
      <w:start w:val="6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>
    <w:nsid w:val="3D0E7D39"/>
    <w:multiLevelType w:val="multilevel"/>
    <w:tmpl w:val="0BB21CC0"/>
    <w:name w:val="AOSch"/>
    <w:lvl w:ilvl="0">
      <w:start w:val="1"/>
      <w:numFmt w:val="decimal"/>
      <w:pStyle w:val="AODocTxt"/>
      <w:suff w:val="nothing"/>
      <w:lvlText w:val="Schedule %1"/>
      <w:lvlJc w:val="left"/>
      <w:rPr>
        <w:rFonts w:cs="Times New Roman"/>
        <w:b/>
        <w:i w:val="0"/>
      </w:rPr>
    </w:lvl>
    <w:lvl w:ilvl="1">
      <w:start w:val="1"/>
      <w:numFmt w:val="decimal"/>
      <w:pStyle w:val="AODocTxtL1"/>
      <w:suff w:val="nothing"/>
      <w:lvlText w:val="Part %2"/>
      <w:lvlJc w:val="left"/>
      <w:rPr>
        <w:rFonts w:cs="Times New Roman"/>
        <w:b/>
        <w:i w:val="0"/>
      </w:rPr>
    </w:lvl>
    <w:lvl w:ilvl="2">
      <w:start w:val="1"/>
      <w:numFmt w:val="none"/>
      <w:lvlRestart w:val="0"/>
      <w:pStyle w:val="AODocTxtL2"/>
      <w:suff w:val="nothing"/>
      <w:lvlText w:val=""/>
      <w:lvlJc w:val="left"/>
      <w:rPr>
        <w:rFonts w:cs="Times New Roman"/>
      </w:rPr>
    </w:lvl>
    <w:lvl w:ilvl="3">
      <w:start w:val="1"/>
      <w:numFmt w:val="none"/>
      <w:lvlRestart w:val="0"/>
      <w:pStyle w:val="AODocTxtL3"/>
      <w:suff w:val="nothing"/>
      <w:lvlText w:val=""/>
      <w:lvlJc w:val="left"/>
      <w:rPr>
        <w:rFonts w:cs="Times New Roman"/>
      </w:rPr>
    </w:lvl>
    <w:lvl w:ilvl="4">
      <w:start w:val="1"/>
      <w:numFmt w:val="none"/>
      <w:lvlRestart w:val="0"/>
      <w:pStyle w:val="AODocTxtL4"/>
      <w:suff w:val="nothing"/>
      <w:lvlText w:val=""/>
      <w:lvlJc w:val="left"/>
      <w:rPr>
        <w:rFonts w:cs="Times New Roman"/>
      </w:rPr>
    </w:lvl>
    <w:lvl w:ilvl="5">
      <w:start w:val="1"/>
      <w:numFmt w:val="none"/>
      <w:lvlRestart w:val="0"/>
      <w:pStyle w:val="AODocTxtL5"/>
      <w:suff w:val="nothing"/>
      <w:lvlText w:val=""/>
      <w:lvlJc w:val="left"/>
      <w:rPr>
        <w:rFonts w:cs="Times New Roman"/>
      </w:rPr>
    </w:lvl>
    <w:lvl w:ilvl="6">
      <w:start w:val="1"/>
      <w:numFmt w:val="none"/>
      <w:lvlRestart w:val="0"/>
      <w:pStyle w:val="AODocTxtL6"/>
      <w:suff w:val="nothing"/>
      <w:lvlText w:val=""/>
      <w:lvlJc w:val="left"/>
      <w:rPr>
        <w:rFonts w:cs="Times New Roman"/>
      </w:rPr>
    </w:lvl>
    <w:lvl w:ilvl="7">
      <w:start w:val="1"/>
      <w:numFmt w:val="none"/>
      <w:lvlRestart w:val="0"/>
      <w:pStyle w:val="AODocTxtL7"/>
      <w:suff w:val="nothing"/>
      <w:lvlText w:val=""/>
      <w:lvlJc w:val="left"/>
      <w:rPr>
        <w:rFonts w:cs="Times New Roman"/>
      </w:rPr>
    </w:lvl>
    <w:lvl w:ilvl="8">
      <w:start w:val="1"/>
      <w:numFmt w:val="none"/>
      <w:lvlRestart w:val="0"/>
      <w:pStyle w:val="AODocTxtL8"/>
      <w:suff w:val="nothing"/>
      <w:lvlText w:val=""/>
      <w:lvlJc w:val="left"/>
      <w:rPr>
        <w:rFonts w:cs="Times New Roman"/>
      </w:rPr>
    </w:lvl>
  </w:abstractNum>
  <w:abstractNum w:abstractNumId="7">
    <w:nsid w:val="475B3203"/>
    <w:multiLevelType w:val="multilevel"/>
    <w:tmpl w:val="6096DEFC"/>
    <w:lvl w:ilvl="0">
      <w:start w:val="1"/>
      <w:numFmt w:val="none"/>
      <w:suff w:val="nothing"/>
      <w:lvlText w:val=""/>
      <w:lvlJc w:val="left"/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ind w:left="720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ind w:left="144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ind w:left="2160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ind w:left="2880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ind w:left="3600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ind w:left="4320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ind w:left="50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ind w:left="5760"/>
      </w:pPr>
      <w:rPr>
        <w:rFonts w:cs="Times New Roman"/>
      </w:rPr>
    </w:lvl>
  </w:abstractNum>
  <w:abstractNum w:abstractNumId="8">
    <w:nsid w:val="4834318B"/>
    <w:multiLevelType w:val="hybridMultilevel"/>
    <w:tmpl w:val="C05E524E"/>
    <w:lvl w:ilvl="0" w:tplc="D6F2B26E">
      <w:start w:val="4"/>
      <w:numFmt w:val="bullet"/>
      <w:lvlText w:val="-"/>
      <w:lvlJc w:val="left"/>
      <w:pPr>
        <w:ind w:left="1440" w:hanging="360"/>
      </w:pPr>
      <w:rPr>
        <w:rFonts w:ascii="Garamond" w:eastAsia="Times New Roman" w:hAnsi="Garamond" w:hint="default"/>
      </w:rPr>
    </w:lvl>
    <w:lvl w:ilvl="1" w:tplc="040E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hint="default"/>
      </w:rPr>
    </w:lvl>
    <w:lvl w:ilvl="2" w:tplc="040E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E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E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hint="default"/>
      </w:rPr>
    </w:lvl>
    <w:lvl w:ilvl="5" w:tplc="040E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E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E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hint="default"/>
      </w:rPr>
    </w:lvl>
    <w:lvl w:ilvl="8" w:tplc="040E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569B5139"/>
    <w:multiLevelType w:val="hybridMultilevel"/>
    <w:tmpl w:val="77D6C012"/>
    <w:lvl w:ilvl="0" w:tplc="040E000F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E0019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E001B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E000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E0019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E001B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E000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E0019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E001B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686D76BD"/>
    <w:multiLevelType w:val="hybridMultilevel"/>
    <w:tmpl w:val="27D2F986"/>
    <w:lvl w:ilvl="0" w:tplc="040E000F">
      <w:start w:val="1"/>
      <w:numFmt w:val="decimal"/>
      <w:lvlText w:val="%1."/>
      <w:lvlJc w:val="left"/>
      <w:pPr>
        <w:ind w:left="180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252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ind w:left="324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ind w:left="396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468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540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612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684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7560" w:hanging="180"/>
      </w:pPr>
      <w:rPr>
        <w:rFonts w:cs="Times New Roman"/>
      </w:rPr>
    </w:lvl>
  </w:abstractNum>
  <w:abstractNum w:abstractNumId="11">
    <w:nsid w:val="6B445799"/>
    <w:multiLevelType w:val="multilevel"/>
    <w:tmpl w:val="6316B8AA"/>
    <w:name w:val="AODef23"/>
    <w:lvl w:ilvl="0">
      <w:start w:val="1"/>
      <w:numFmt w:val="none"/>
      <w:pStyle w:val="AODefHead"/>
      <w:suff w:val="nothing"/>
      <w:lvlText w:val=""/>
      <w:lvlJc w:val="left"/>
      <w:pPr>
        <w:ind w:left="720"/>
      </w:pPr>
      <w:rPr>
        <w:rFonts w:ascii="Times New Roman" w:hAnsi="Times New Roman" w:cs="Times New Roman" w:hint="default"/>
        <w:b/>
        <w:i w:val="0"/>
        <w:caps/>
        <w:smallCaps w:val="0"/>
        <w:sz w:val="22"/>
      </w:rPr>
    </w:lvl>
    <w:lvl w:ilvl="1">
      <w:start w:val="1"/>
      <w:numFmt w:val="lowerLetter"/>
      <w:pStyle w:val="AODefPara"/>
      <w:lvlText w:val="(%2)"/>
      <w:lvlJc w:val="left"/>
      <w:pPr>
        <w:ind w:left="720"/>
      </w:pPr>
      <w:rPr>
        <w:rFonts w:cs="Times New Roman" w:hint="default"/>
        <w:b/>
        <w:i w:val="0"/>
        <w:caps w:val="0"/>
        <w:smallCaps w:val="0"/>
        <w:sz w:val="22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720"/>
      </w:pPr>
      <w:rPr>
        <w:rFonts w:ascii="Verdana" w:hAnsi="Verdana" w:cs="Times New Roman" w:hint="default"/>
        <w:b w:val="0"/>
        <w:i w:val="0"/>
        <w:sz w:val="22"/>
      </w:rPr>
    </w:lvl>
    <w:lvl w:ilvl="3">
      <w:start w:val="1"/>
      <w:numFmt w:val="lowerRoman"/>
      <w:lvlText w:val="(%4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720"/>
      </w:pPr>
      <w:rPr>
        <w:rFonts w:ascii="Verdana" w:hAnsi="Verdana" w:cs="Times New Roman" w:hint="default"/>
        <w:b w:val="0"/>
        <w:i w:val="0"/>
        <w:sz w:val="22"/>
      </w:rPr>
    </w:lvl>
    <w:lvl w:ilvl="6">
      <w:start w:val="1"/>
      <w:numFmt w:val="upperLetter"/>
      <w:lvlText w:val="(%7)"/>
      <w:lvlJc w:val="left"/>
      <w:pPr>
        <w:tabs>
          <w:tab w:val="num" w:pos="2160"/>
        </w:tabs>
        <w:ind w:left="2160" w:hanging="720"/>
      </w:pPr>
      <w:rPr>
        <w:rFonts w:cs="Times New Roman" w:hint="default"/>
      </w:rPr>
    </w:lvl>
    <w:lvl w:ilvl="7">
      <w:start w:val="1"/>
      <w:numFmt w:val="decimal"/>
      <w:lvlText w:val="(%8)"/>
      <w:lvlJc w:val="left"/>
      <w:pPr>
        <w:tabs>
          <w:tab w:val="num" w:pos="1440"/>
        </w:tabs>
        <w:ind w:left="1440" w:hanging="720"/>
      </w:pPr>
      <w:rPr>
        <w:rFonts w:ascii="Times New Roman" w:hAnsi="Times New Roman" w:cs="Times New Roman" w:hint="default"/>
        <w:b w:val="0"/>
        <w:i w:val="0"/>
        <w:sz w:val="22"/>
      </w:rPr>
    </w:lvl>
    <w:lvl w:ilvl="8">
      <w:start w:val="1"/>
      <w:numFmt w:val="decimal"/>
      <w:lvlText w:val="(%9)"/>
      <w:lvlJc w:val="left"/>
      <w:pPr>
        <w:tabs>
          <w:tab w:val="num" w:pos="2160"/>
        </w:tabs>
        <w:ind w:left="2160" w:hanging="720"/>
      </w:pPr>
      <w:rPr>
        <w:rFonts w:ascii="Times New Roman" w:hAnsi="Times New Roman" w:cs="Times New Roman" w:hint="default"/>
        <w:b w:val="0"/>
        <w:i w:val="0"/>
        <w:sz w:val="22"/>
      </w:rPr>
    </w:lvl>
  </w:abstractNum>
  <w:abstractNum w:abstractNumId="12">
    <w:nsid w:val="78DC6893"/>
    <w:multiLevelType w:val="hybridMultilevel"/>
    <w:tmpl w:val="7506F4E0"/>
    <w:lvl w:ilvl="0" w:tplc="040E0017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E0017">
      <w:start w:val="1"/>
      <w:numFmt w:val="lowerLetter"/>
      <w:lvlText w:val="%3)"/>
      <w:lvlJc w:val="left"/>
      <w:pPr>
        <w:ind w:left="2160" w:hanging="180"/>
      </w:pPr>
      <w:rPr>
        <w:rFonts w:cs="Times New Roman"/>
      </w:rPr>
    </w:lvl>
    <w:lvl w:ilvl="3" w:tplc="040E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3">
    <w:nsid w:val="78F23824"/>
    <w:multiLevelType w:val="hybridMultilevel"/>
    <w:tmpl w:val="3E1C158A"/>
    <w:name w:val="AOGen1"/>
    <w:lvl w:ilvl="0" w:tplc="FFFFFFFF">
      <w:start w:val="1"/>
      <w:numFmt w:val="lowerLetter"/>
      <w:lvlText w:val="%1)"/>
      <w:lvlJc w:val="left"/>
      <w:pPr>
        <w:tabs>
          <w:tab w:val="num" w:pos="360"/>
        </w:tabs>
      </w:pPr>
      <w:rPr>
        <w:rFonts w:ascii="Garamond" w:hAnsi="Garamond" w:cs="Times New Roman" w:hint="default"/>
        <w:b w:val="0"/>
        <w:i w:val="0"/>
        <w:sz w:val="24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7D5C05FF"/>
    <w:multiLevelType w:val="hybridMultilevel"/>
    <w:tmpl w:val="8B4446B8"/>
    <w:lvl w:ilvl="0" w:tplc="08DAF116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C8F03FE4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6"/>
  </w:num>
  <w:num w:numId="2">
    <w:abstractNumId w:val="7"/>
  </w:num>
  <w:num w:numId="3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</w:num>
  <w:num w:numId="5">
    <w:abstractNumId w:val="13"/>
  </w:num>
  <w:num w:numId="6">
    <w:abstractNumId w:val="2"/>
  </w:num>
  <w:num w:numId="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5"/>
  </w:num>
  <w:num w:numId="9">
    <w:abstractNumId w:val="8"/>
  </w:num>
  <w:num w:numId="10">
    <w:abstractNumId w:val="0"/>
  </w:num>
  <w:num w:numId="11">
    <w:abstractNumId w:val="1"/>
  </w:num>
  <w:num w:numId="12">
    <w:abstractNumId w:val="3"/>
  </w:num>
  <w:num w:numId="13">
    <w:abstractNumId w:val="10"/>
  </w:num>
  <w:num w:numId="14">
    <w:abstractNumId w:val="12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6"/>
  <w:proofState w:spelling="clean" w:grammar="clean"/>
  <w:defaultTabStop w:val="708"/>
  <w:hyphenationZone w:val="425"/>
  <w:characterSpacingControl w:val="doNotCompress"/>
  <w:footnotePr>
    <w:numRestart w:val="eachSect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9D0"/>
    <w:rsid w:val="00C7059A"/>
    <w:rsid w:val="00E539D0"/>
    <w:rsid w:val="00FC50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D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styleId="Cmsor3">
    <w:name w:val="heading 3"/>
    <w:basedOn w:val="Norml"/>
    <w:next w:val="AODocTxt"/>
    <w:link w:val="Cmsor3Char"/>
    <w:uiPriority w:val="99"/>
    <w:qFormat/>
    <w:rsid w:val="00E539D0"/>
    <w:pPr>
      <w:spacing w:before="240" w:line="260" w:lineRule="atLeast"/>
      <w:jc w:val="both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E539D0"/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l"/>
    <w:rsid w:val="00E539D0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efHead">
    <w:name w:val="AODefHead"/>
    <w:basedOn w:val="Norml"/>
    <w:next w:val="AODefPara"/>
    <w:uiPriority w:val="99"/>
    <w:rsid w:val="00E539D0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AODefPara">
    <w:name w:val="AODefPara"/>
    <w:basedOn w:val="AODefHead"/>
    <w:uiPriority w:val="99"/>
    <w:rsid w:val="00E539D0"/>
    <w:pPr>
      <w:numPr>
        <w:ilvl w:val="1"/>
      </w:numPr>
      <w:ind w:left="1440" w:hanging="360"/>
      <w:outlineLvl w:val="6"/>
    </w:pPr>
  </w:style>
  <w:style w:type="paragraph" w:customStyle="1" w:styleId="AOSchHead">
    <w:name w:val="AOSchHead"/>
    <w:basedOn w:val="Norml"/>
    <w:next w:val="Norml"/>
    <w:uiPriority w:val="99"/>
    <w:rsid w:val="00E539D0"/>
    <w:pPr>
      <w:pageBreakBefore/>
      <w:spacing w:before="24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DocTxtL1">
    <w:name w:val="AODocTxtL1"/>
    <w:basedOn w:val="AODocTxt"/>
    <w:rsid w:val="00E539D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E539D0"/>
    <w:pPr>
      <w:numPr>
        <w:ilvl w:val="2"/>
      </w:numPr>
      <w:ind w:left="1440"/>
    </w:pPr>
  </w:style>
  <w:style w:type="paragraph" w:customStyle="1" w:styleId="AODocTxtL3">
    <w:name w:val="AODocTxtL3"/>
    <w:basedOn w:val="AODocTxt"/>
    <w:uiPriority w:val="99"/>
    <w:rsid w:val="00E539D0"/>
    <w:pPr>
      <w:numPr>
        <w:ilvl w:val="3"/>
      </w:numPr>
      <w:ind w:left="2160"/>
    </w:pPr>
  </w:style>
  <w:style w:type="paragraph" w:customStyle="1" w:styleId="AODocTxtL4">
    <w:name w:val="AODocTxtL4"/>
    <w:basedOn w:val="AODocTxt"/>
    <w:uiPriority w:val="99"/>
    <w:rsid w:val="00E539D0"/>
    <w:pPr>
      <w:numPr>
        <w:ilvl w:val="4"/>
      </w:numPr>
      <w:ind w:left="2880"/>
    </w:pPr>
  </w:style>
  <w:style w:type="paragraph" w:customStyle="1" w:styleId="AODocTxtL5">
    <w:name w:val="AODocTxtL5"/>
    <w:basedOn w:val="AODocTxt"/>
    <w:uiPriority w:val="99"/>
    <w:rsid w:val="00E539D0"/>
    <w:pPr>
      <w:numPr>
        <w:ilvl w:val="5"/>
      </w:numPr>
      <w:ind w:left="3600"/>
    </w:pPr>
  </w:style>
  <w:style w:type="paragraph" w:customStyle="1" w:styleId="AODocTxtL6">
    <w:name w:val="AODocTxtL6"/>
    <w:basedOn w:val="AODocTxt"/>
    <w:uiPriority w:val="99"/>
    <w:rsid w:val="00E539D0"/>
    <w:pPr>
      <w:numPr>
        <w:ilvl w:val="6"/>
      </w:numPr>
      <w:ind w:left="4320"/>
    </w:pPr>
  </w:style>
  <w:style w:type="paragraph" w:customStyle="1" w:styleId="AODocTxtL7">
    <w:name w:val="AODocTxtL7"/>
    <w:basedOn w:val="AODocTxt"/>
    <w:uiPriority w:val="99"/>
    <w:rsid w:val="00E539D0"/>
    <w:pPr>
      <w:numPr>
        <w:ilvl w:val="7"/>
      </w:numPr>
      <w:ind w:left="5040"/>
    </w:pPr>
  </w:style>
  <w:style w:type="paragraph" w:customStyle="1" w:styleId="AODocTxtL8">
    <w:name w:val="AODocTxtL8"/>
    <w:basedOn w:val="AODocTxt"/>
    <w:uiPriority w:val="99"/>
    <w:rsid w:val="00E539D0"/>
    <w:pPr>
      <w:numPr>
        <w:ilvl w:val="8"/>
      </w:numPr>
      <w:ind w:left="5760"/>
    </w:pPr>
  </w:style>
  <w:style w:type="paragraph" w:customStyle="1" w:styleId="AOHead2">
    <w:name w:val="AOHead2"/>
    <w:basedOn w:val="Norml"/>
    <w:next w:val="AODocTxtL1"/>
    <w:rsid w:val="00E539D0"/>
    <w:pPr>
      <w:keepNext/>
      <w:spacing w:before="240" w:line="260" w:lineRule="atLeast"/>
      <w:jc w:val="both"/>
      <w:outlineLvl w:val="1"/>
    </w:pPr>
    <w:rPr>
      <w:rFonts w:ascii="Times New Roman" w:eastAsia="SimSun" w:hAnsi="Times New Roman"/>
      <w:b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E539D0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E539D0"/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Felsorols1">
    <w:name w:val="Felsorolás 1"/>
    <w:basedOn w:val="Felsorols"/>
    <w:uiPriority w:val="99"/>
    <w:rsid w:val="00E539D0"/>
    <w:pPr>
      <w:numPr>
        <w:numId w:val="0"/>
      </w:numPr>
      <w:spacing w:after="120"/>
      <w:contextualSpacing w:val="0"/>
      <w:jc w:val="both"/>
    </w:pPr>
    <w:rPr>
      <w:rFonts w:ascii="Times New Roman" w:hAnsi="Times New Roman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E539D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539D0"/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Lista0">
    <w:name w:val="Lista0"/>
    <w:basedOn w:val="Norml"/>
    <w:uiPriority w:val="99"/>
    <w:rsid w:val="00E539D0"/>
    <w:pPr>
      <w:tabs>
        <w:tab w:val="num" w:pos="360"/>
      </w:tabs>
      <w:spacing w:after="60"/>
      <w:jc w:val="both"/>
    </w:pPr>
    <w:rPr>
      <w:rFonts w:ascii="Times New Roman" w:hAnsi="Times New Roman"/>
    </w:rPr>
  </w:style>
  <w:style w:type="paragraph" w:styleId="Felsorols">
    <w:name w:val="List Bullet"/>
    <w:basedOn w:val="Norml"/>
    <w:uiPriority w:val="99"/>
    <w:semiHidden/>
    <w:unhideWhenUsed/>
    <w:rsid w:val="00E539D0"/>
    <w:pPr>
      <w:numPr>
        <w:numId w:val="1"/>
      </w:num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39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9D0"/>
    <w:rPr>
      <w:rFonts w:ascii="Tahoma" w:eastAsia="Times New Roman" w:hAnsi="Tahoma" w:cs="Tahoma"/>
      <w:sz w:val="16"/>
      <w:szCs w:val="16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E539D0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hu-HU"/>
    </w:rPr>
  </w:style>
  <w:style w:type="paragraph" w:styleId="Cmsor3">
    <w:name w:val="heading 3"/>
    <w:basedOn w:val="Norml"/>
    <w:next w:val="AODocTxt"/>
    <w:link w:val="Cmsor3Char"/>
    <w:uiPriority w:val="99"/>
    <w:qFormat/>
    <w:rsid w:val="00E539D0"/>
    <w:pPr>
      <w:spacing w:before="240" w:line="260" w:lineRule="atLeast"/>
      <w:jc w:val="both"/>
      <w:outlineLvl w:val="2"/>
    </w:pPr>
    <w:rPr>
      <w:rFonts w:ascii="Times New Roman" w:eastAsia="SimSun" w:hAnsi="Times New Roman"/>
      <w:sz w:val="22"/>
      <w:szCs w:val="22"/>
      <w:lang w:eastAsia="en-US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3Char">
    <w:name w:val="Címsor 3 Char"/>
    <w:basedOn w:val="Bekezdsalapbettpusa"/>
    <w:link w:val="Cmsor3"/>
    <w:uiPriority w:val="99"/>
    <w:rsid w:val="00E539D0"/>
    <w:rPr>
      <w:rFonts w:ascii="Times New Roman" w:eastAsia="SimSun" w:hAnsi="Times New Roman" w:cs="Times New Roman"/>
    </w:rPr>
  </w:style>
  <w:style w:type="paragraph" w:customStyle="1" w:styleId="AODocTxt">
    <w:name w:val="AODocTxt"/>
    <w:basedOn w:val="Norml"/>
    <w:rsid w:val="00E539D0"/>
    <w:pPr>
      <w:numPr>
        <w:numId w:val="1"/>
      </w:numPr>
      <w:spacing w:before="240" w:line="260" w:lineRule="atLeast"/>
      <w:jc w:val="both"/>
    </w:pPr>
    <w:rPr>
      <w:rFonts w:ascii="Times New Roman" w:eastAsia="SimSun" w:hAnsi="Times New Roman"/>
      <w:sz w:val="22"/>
      <w:szCs w:val="22"/>
      <w:lang w:eastAsia="en-US"/>
    </w:rPr>
  </w:style>
  <w:style w:type="paragraph" w:customStyle="1" w:styleId="AODefHead">
    <w:name w:val="AODefHead"/>
    <w:basedOn w:val="Norml"/>
    <w:next w:val="AODefPara"/>
    <w:uiPriority w:val="99"/>
    <w:rsid w:val="00E539D0"/>
    <w:pPr>
      <w:numPr>
        <w:numId w:val="15"/>
      </w:numPr>
      <w:spacing w:before="240" w:line="260" w:lineRule="atLeast"/>
      <w:jc w:val="both"/>
      <w:outlineLvl w:val="5"/>
    </w:pPr>
    <w:rPr>
      <w:rFonts w:ascii="Times New Roman" w:hAnsi="Times New Roman"/>
      <w:sz w:val="22"/>
      <w:szCs w:val="20"/>
      <w:lang w:eastAsia="en-US"/>
    </w:rPr>
  </w:style>
  <w:style w:type="paragraph" w:customStyle="1" w:styleId="AODefPara">
    <w:name w:val="AODefPara"/>
    <w:basedOn w:val="AODefHead"/>
    <w:uiPriority w:val="99"/>
    <w:rsid w:val="00E539D0"/>
    <w:pPr>
      <w:numPr>
        <w:ilvl w:val="1"/>
      </w:numPr>
      <w:ind w:left="1440" w:hanging="360"/>
      <w:outlineLvl w:val="6"/>
    </w:pPr>
  </w:style>
  <w:style w:type="paragraph" w:customStyle="1" w:styleId="AOSchHead">
    <w:name w:val="AOSchHead"/>
    <w:basedOn w:val="Norml"/>
    <w:next w:val="Norml"/>
    <w:uiPriority w:val="99"/>
    <w:rsid w:val="00E539D0"/>
    <w:pPr>
      <w:pageBreakBefore/>
      <w:spacing w:before="240" w:line="260" w:lineRule="atLeast"/>
      <w:jc w:val="center"/>
      <w:outlineLvl w:val="0"/>
    </w:pPr>
    <w:rPr>
      <w:rFonts w:ascii="Times New Roman" w:eastAsia="SimSun" w:hAnsi="Times New Roman"/>
      <w:caps/>
      <w:sz w:val="22"/>
      <w:szCs w:val="22"/>
      <w:lang w:eastAsia="en-US"/>
    </w:rPr>
  </w:style>
  <w:style w:type="paragraph" w:customStyle="1" w:styleId="AODocTxtL1">
    <w:name w:val="AODocTxtL1"/>
    <w:basedOn w:val="AODocTxt"/>
    <w:rsid w:val="00E539D0"/>
    <w:pPr>
      <w:numPr>
        <w:ilvl w:val="1"/>
      </w:numPr>
    </w:pPr>
  </w:style>
  <w:style w:type="paragraph" w:customStyle="1" w:styleId="AODocTxtL2">
    <w:name w:val="AODocTxtL2"/>
    <w:basedOn w:val="AODocTxt"/>
    <w:uiPriority w:val="99"/>
    <w:rsid w:val="00E539D0"/>
    <w:pPr>
      <w:numPr>
        <w:ilvl w:val="2"/>
      </w:numPr>
      <w:ind w:left="1440"/>
    </w:pPr>
  </w:style>
  <w:style w:type="paragraph" w:customStyle="1" w:styleId="AODocTxtL3">
    <w:name w:val="AODocTxtL3"/>
    <w:basedOn w:val="AODocTxt"/>
    <w:uiPriority w:val="99"/>
    <w:rsid w:val="00E539D0"/>
    <w:pPr>
      <w:numPr>
        <w:ilvl w:val="3"/>
      </w:numPr>
      <w:ind w:left="2160"/>
    </w:pPr>
  </w:style>
  <w:style w:type="paragraph" w:customStyle="1" w:styleId="AODocTxtL4">
    <w:name w:val="AODocTxtL4"/>
    <w:basedOn w:val="AODocTxt"/>
    <w:uiPriority w:val="99"/>
    <w:rsid w:val="00E539D0"/>
    <w:pPr>
      <w:numPr>
        <w:ilvl w:val="4"/>
      </w:numPr>
      <w:ind w:left="2880"/>
    </w:pPr>
  </w:style>
  <w:style w:type="paragraph" w:customStyle="1" w:styleId="AODocTxtL5">
    <w:name w:val="AODocTxtL5"/>
    <w:basedOn w:val="AODocTxt"/>
    <w:uiPriority w:val="99"/>
    <w:rsid w:val="00E539D0"/>
    <w:pPr>
      <w:numPr>
        <w:ilvl w:val="5"/>
      </w:numPr>
      <w:ind w:left="3600"/>
    </w:pPr>
  </w:style>
  <w:style w:type="paragraph" w:customStyle="1" w:styleId="AODocTxtL6">
    <w:name w:val="AODocTxtL6"/>
    <w:basedOn w:val="AODocTxt"/>
    <w:uiPriority w:val="99"/>
    <w:rsid w:val="00E539D0"/>
    <w:pPr>
      <w:numPr>
        <w:ilvl w:val="6"/>
      </w:numPr>
      <w:ind w:left="4320"/>
    </w:pPr>
  </w:style>
  <w:style w:type="paragraph" w:customStyle="1" w:styleId="AODocTxtL7">
    <w:name w:val="AODocTxtL7"/>
    <w:basedOn w:val="AODocTxt"/>
    <w:uiPriority w:val="99"/>
    <w:rsid w:val="00E539D0"/>
    <w:pPr>
      <w:numPr>
        <w:ilvl w:val="7"/>
      </w:numPr>
      <w:ind w:left="5040"/>
    </w:pPr>
  </w:style>
  <w:style w:type="paragraph" w:customStyle="1" w:styleId="AODocTxtL8">
    <w:name w:val="AODocTxtL8"/>
    <w:basedOn w:val="AODocTxt"/>
    <w:uiPriority w:val="99"/>
    <w:rsid w:val="00E539D0"/>
    <w:pPr>
      <w:numPr>
        <w:ilvl w:val="8"/>
      </w:numPr>
      <w:ind w:left="5760"/>
    </w:pPr>
  </w:style>
  <w:style w:type="paragraph" w:customStyle="1" w:styleId="AOHead2">
    <w:name w:val="AOHead2"/>
    <w:basedOn w:val="Norml"/>
    <w:next w:val="AODocTxtL1"/>
    <w:rsid w:val="00E539D0"/>
    <w:pPr>
      <w:keepNext/>
      <w:spacing w:before="240" w:line="260" w:lineRule="atLeast"/>
      <w:jc w:val="both"/>
      <w:outlineLvl w:val="1"/>
    </w:pPr>
    <w:rPr>
      <w:rFonts w:ascii="Times New Roman" w:eastAsia="SimSun" w:hAnsi="Times New Roman"/>
      <w:b/>
      <w:sz w:val="22"/>
      <w:szCs w:val="22"/>
      <w:lang w:eastAsia="en-US"/>
    </w:rPr>
  </w:style>
  <w:style w:type="paragraph" w:styleId="llb">
    <w:name w:val="footer"/>
    <w:basedOn w:val="Norml"/>
    <w:link w:val="llbChar"/>
    <w:uiPriority w:val="99"/>
    <w:rsid w:val="00E539D0"/>
    <w:pPr>
      <w:tabs>
        <w:tab w:val="center" w:pos="4153"/>
        <w:tab w:val="right" w:pos="8306"/>
      </w:tabs>
    </w:pPr>
  </w:style>
  <w:style w:type="character" w:customStyle="1" w:styleId="llbChar">
    <w:name w:val="Élőláb Char"/>
    <w:basedOn w:val="Bekezdsalapbettpusa"/>
    <w:link w:val="llb"/>
    <w:uiPriority w:val="99"/>
    <w:rsid w:val="00E539D0"/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Felsorols1">
    <w:name w:val="Felsorolás 1"/>
    <w:basedOn w:val="Felsorols"/>
    <w:uiPriority w:val="99"/>
    <w:rsid w:val="00E539D0"/>
    <w:pPr>
      <w:numPr>
        <w:numId w:val="0"/>
      </w:numPr>
      <w:spacing w:after="120"/>
      <w:contextualSpacing w:val="0"/>
      <w:jc w:val="both"/>
    </w:pPr>
    <w:rPr>
      <w:rFonts w:ascii="Times New Roman" w:hAnsi="Times New Roman"/>
      <w:szCs w:val="20"/>
      <w:lang w:val="en-GB"/>
    </w:rPr>
  </w:style>
  <w:style w:type="paragraph" w:styleId="Szvegtrzs">
    <w:name w:val="Body Text"/>
    <w:basedOn w:val="Norml"/>
    <w:link w:val="SzvegtrzsChar"/>
    <w:uiPriority w:val="99"/>
    <w:rsid w:val="00E539D0"/>
    <w:pPr>
      <w:spacing w:after="120"/>
    </w:pPr>
  </w:style>
  <w:style w:type="character" w:customStyle="1" w:styleId="SzvegtrzsChar">
    <w:name w:val="Szövegtörzs Char"/>
    <w:basedOn w:val="Bekezdsalapbettpusa"/>
    <w:link w:val="Szvegtrzs"/>
    <w:uiPriority w:val="99"/>
    <w:rsid w:val="00E539D0"/>
    <w:rPr>
      <w:rFonts w:ascii="Garamond" w:eastAsia="Times New Roman" w:hAnsi="Garamond" w:cs="Times New Roman"/>
      <w:sz w:val="24"/>
      <w:szCs w:val="24"/>
      <w:lang w:eastAsia="hu-HU"/>
    </w:rPr>
  </w:style>
  <w:style w:type="paragraph" w:customStyle="1" w:styleId="Lista0">
    <w:name w:val="Lista0"/>
    <w:basedOn w:val="Norml"/>
    <w:uiPriority w:val="99"/>
    <w:rsid w:val="00E539D0"/>
    <w:pPr>
      <w:tabs>
        <w:tab w:val="num" w:pos="360"/>
      </w:tabs>
      <w:spacing w:after="60"/>
      <w:jc w:val="both"/>
    </w:pPr>
    <w:rPr>
      <w:rFonts w:ascii="Times New Roman" w:hAnsi="Times New Roman"/>
    </w:rPr>
  </w:style>
  <w:style w:type="paragraph" w:styleId="Felsorols">
    <w:name w:val="List Bullet"/>
    <w:basedOn w:val="Norml"/>
    <w:uiPriority w:val="99"/>
    <w:semiHidden/>
    <w:unhideWhenUsed/>
    <w:rsid w:val="00E539D0"/>
    <w:pPr>
      <w:numPr>
        <w:numId w:val="1"/>
      </w:numPr>
      <w:contextualSpacing/>
    </w:pPr>
  </w:style>
  <w:style w:type="paragraph" w:styleId="Buborkszveg">
    <w:name w:val="Balloon Text"/>
    <w:basedOn w:val="Norml"/>
    <w:link w:val="BuborkszvegChar"/>
    <w:uiPriority w:val="99"/>
    <w:semiHidden/>
    <w:unhideWhenUsed/>
    <w:rsid w:val="00E539D0"/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539D0"/>
    <w:rPr>
      <w:rFonts w:ascii="Tahoma" w:eastAsia="Times New Roman" w:hAnsi="Tahoma" w:cs="Tahoma"/>
      <w:sz w:val="16"/>
      <w:szCs w:val="16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13</Pages>
  <Words>3733</Words>
  <Characters>25763</Characters>
  <Application>Microsoft Office Word</Application>
  <DocSecurity>0</DocSecurity>
  <Lines>214</Lines>
  <Paragraphs>58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MFB</Company>
  <LinksUpToDate>false</LinksUpToDate>
  <CharactersWithSpaces>29438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Krucsó László</dc:creator>
  <cp:lastModifiedBy>Krucsó László</cp:lastModifiedBy>
  <cp:revision>1</cp:revision>
  <dcterms:created xsi:type="dcterms:W3CDTF">2016-06-06T09:13:00Z</dcterms:created>
  <dcterms:modified xsi:type="dcterms:W3CDTF">2016-06-06T09:14:00Z</dcterms:modified>
</cp:coreProperties>
</file>